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69D77" w14:textId="77777777" w:rsidR="00A47AFA" w:rsidRDefault="00A47AFA" w:rsidP="00A47AFA">
      <w:pPr>
        <w:jc w:val="center"/>
        <w:rPr>
          <w:sz w:val="28"/>
          <w:szCs w:val="28"/>
        </w:rPr>
      </w:pPr>
      <w:r>
        <w:rPr>
          <w:noProof/>
          <w:sz w:val="28"/>
          <w:szCs w:val="28"/>
          <w:lang w:val="ru-RU"/>
        </w:rPr>
        <w:drawing>
          <wp:inline distT="114300" distB="114300" distL="114300" distR="114300" wp14:anchorId="65FEB0CC" wp14:editId="58093FC9">
            <wp:extent cx="4698520" cy="1047151"/>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698520" cy="1047151"/>
                    </a:xfrm>
                    <a:prstGeom prst="rect">
                      <a:avLst/>
                    </a:prstGeom>
                    <a:ln/>
                  </pic:spPr>
                </pic:pic>
              </a:graphicData>
            </a:graphic>
          </wp:inline>
        </w:drawing>
      </w:r>
    </w:p>
    <w:p w14:paraId="11480EC6" w14:textId="77777777" w:rsidR="00A47AFA" w:rsidRDefault="00A47AFA" w:rsidP="00A47AFA">
      <w:pPr>
        <w:spacing w:after="60"/>
        <w:rPr>
          <w:b/>
          <w:sz w:val="20"/>
          <w:szCs w:val="20"/>
        </w:rPr>
      </w:pPr>
      <w:r w:rsidRPr="00A47AFA">
        <w:rPr>
          <w:b/>
          <w:sz w:val="20"/>
          <w:szCs w:val="20"/>
        </w:rPr>
        <w:t xml:space="preserve">       </w:t>
      </w:r>
    </w:p>
    <w:p w14:paraId="1463936F" w14:textId="5BC0DF6C" w:rsidR="00A47AFA" w:rsidRPr="00A47AFA" w:rsidRDefault="00A47AFA" w:rsidP="00A47AFA">
      <w:pPr>
        <w:spacing w:after="60"/>
        <w:rPr>
          <w:b/>
          <w:sz w:val="20"/>
          <w:szCs w:val="20"/>
        </w:rPr>
      </w:pPr>
      <w:r w:rsidRPr="00A47AFA">
        <w:rPr>
          <w:b/>
          <w:sz w:val="20"/>
          <w:szCs w:val="20"/>
        </w:rPr>
        <w:t xml:space="preserve">  вул. Героїв Майдану, 226  м. Чернівці, Чернівецька область  58013  код ЄДРПОУ 02005763 </w:t>
      </w:r>
    </w:p>
    <w:p w14:paraId="4B1BBB73" w14:textId="77777777" w:rsidR="00A47AFA" w:rsidRPr="00A47AFA" w:rsidRDefault="00A47AFA" w:rsidP="00A47AFA">
      <w:pPr>
        <w:spacing w:after="60"/>
        <w:jc w:val="center"/>
        <w:rPr>
          <w:sz w:val="20"/>
          <w:szCs w:val="20"/>
          <w:u w:val="single"/>
        </w:rPr>
      </w:pPr>
      <w:proofErr w:type="spellStart"/>
      <w:r w:rsidRPr="00A47AFA">
        <w:rPr>
          <w:b/>
          <w:sz w:val="20"/>
          <w:szCs w:val="20"/>
        </w:rPr>
        <w:t>тел</w:t>
      </w:r>
      <w:proofErr w:type="spellEnd"/>
      <w:r w:rsidRPr="00A47AFA">
        <w:rPr>
          <w:b/>
          <w:sz w:val="20"/>
          <w:szCs w:val="20"/>
        </w:rPr>
        <w:t xml:space="preserve">. ( 0372) 50-66-42 сайт </w:t>
      </w:r>
      <w:hyperlink r:id="rId9">
        <w:r w:rsidRPr="00A47AFA">
          <w:rPr>
            <w:b/>
            <w:color w:val="0000FF"/>
            <w:sz w:val="20"/>
            <w:szCs w:val="20"/>
            <w:u w:val="single"/>
          </w:rPr>
          <w:t>https://cmkl</w:t>
        </w:r>
      </w:hyperlink>
      <w:r w:rsidRPr="00A47AFA">
        <w:rPr>
          <w:b/>
          <w:color w:val="0000FF"/>
          <w:sz w:val="20"/>
          <w:szCs w:val="20"/>
          <w:u w:val="single"/>
        </w:rPr>
        <w:t>.cv.ua</w:t>
      </w:r>
      <w:r w:rsidRPr="00A47AFA">
        <w:rPr>
          <w:b/>
          <w:sz w:val="20"/>
          <w:szCs w:val="20"/>
        </w:rPr>
        <w:t xml:space="preserve">  Е-</w:t>
      </w:r>
      <w:proofErr w:type="spellStart"/>
      <w:r w:rsidRPr="00A47AFA">
        <w:rPr>
          <w:b/>
          <w:sz w:val="20"/>
          <w:szCs w:val="20"/>
        </w:rPr>
        <w:t>mail</w:t>
      </w:r>
      <w:proofErr w:type="spellEnd"/>
      <w:r w:rsidRPr="00A47AFA">
        <w:rPr>
          <w:b/>
          <w:sz w:val="20"/>
          <w:szCs w:val="20"/>
        </w:rPr>
        <w:t xml:space="preserve"> </w:t>
      </w:r>
      <w:r w:rsidRPr="00A47AFA">
        <w:rPr>
          <w:b/>
          <w:sz w:val="20"/>
          <w:szCs w:val="20"/>
          <w:u w:val="single"/>
        </w:rPr>
        <w:t>office@cmkl.cv.ua</w:t>
      </w:r>
    </w:p>
    <w:p w14:paraId="01F3187A" w14:textId="77777777" w:rsidR="00A47AFA" w:rsidRDefault="00A47AFA" w:rsidP="00A47AFA">
      <w:pPr>
        <w:jc w:val="center"/>
        <w:rPr>
          <w:sz w:val="28"/>
          <w:szCs w:val="28"/>
        </w:rPr>
      </w:pPr>
    </w:p>
    <w:p w14:paraId="198D04FF" w14:textId="77777777" w:rsidR="009040DD" w:rsidRPr="00725053" w:rsidRDefault="009040DD" w:rsidP="00043B6F">
      <w:pPr>
        <w:pStyle w:val="11"/>
        <w:keepNext/>
        <w:keepLines/>
        <w:shd w:val="clear" w:color="auto" w:fill="auto"/>
        <w:jc w:val="right"/>
        <w:rPr>
          <w:sz w:val="22"/>
          <w:szCs w:val="22"/>
        </w:rPr>
      </w:pPr>
    </w:p>
    <w:p w14:paraId="2F12176A" w14:textId="5737E1E8" w:rsidR="00043B6F" w:rsidRPr="00725053" w:rsidRDefault="00C9476F" w:rsidP="00043B6F">
      <w:pPr>
        <w:pStyle w:val="11"/>
        <w:keepNext/>
        <w:keepLines/>
        <w:shd w:val="clear" w:color="auto" w:fill="auto"/>
        <w:jc w:val="right"/>
        <w:rPr>
          <w:sz w:val="22"/>
          <w:szCs w:val="22"/>
        </w:rPr>
      </w:pPr>
      <w:r w:rsidRPr="00725053">
        <w:rPr>
          <w:sz w:val="22"/>
          <w:szCs w:val="22"/>
        </w:rPr>
        <w:t>0</w:t>
      </w:r>
      <w:r w:rsidR="00596892" w:rsidRPr="00725053">
        <w:rPr>
          <w:sz w:val="22"/>
          <w:szCs w:val="22"/>
        </w:rPr>
        <w:t>8</w:t>
      </w:r>
      <w:r w:rsidR="00B13749" w:rsidRPr="00725053">
        <w:rPr>
          <w:sz w:val="22"/>
          <w:szCs w:val="22"/>
        </w:rPr>
        <w:t>.</w:t>
      </w:r>
      <w:r w:rsidRPr="00725053">
        <w:rPr>
          <w:sz w:val="22"/>
          <w:szCs w:val="22"/>
        </w:rPr>
        <w:t>1</w:t>
      </w:r>
      <w:r w:rsidR="00596892" w:rsidRPr="00725053">
        <w:rPr>
          <w:sz w:val="22"/>
          <w:szCs w:val="22"/>
        </w:rPr>
        <w:t>2</w:t>
      </w:r>
      <w:r w:rsidR="00C15240" w:rsidRPr="00725053">
        <w:rPr>
          <w:sz w:val="22"/>
          <w:szCs w:val="22"/>
        </w:rPr>
        <w:t>.</w:t>
      </w:r>
      <w:r w:rsidR="00043B6F" w:rsidRPr="00725053">
        <w:rPr>
          <w:sz w:val="22"/>
          <w:szCs w:val="22"/>
        </w:rPr>
        <w:t xml:space="preserve">2025р </w:t>
      </w:r>
    </w:p>
    <w:p w14:paraId="6418FEC5" w14:textId="77777777" w:rsidR="00043B6F" w:rsidRPr="00725053" w:rsidRDefault="00043B6F" w:rsidP="00043B6F"/>
    <w:p w14:paraId="00000001" w14:textId="65FA8B66" w:rsidR="00D768E5" w:rsidRPr="00725053" w:rsidRDefault="00043B6F" w:rsidP="00D768E5">
      <w:pPr>
        <w:pBdr>
          <w:top w:val="nil"/>
          <w:left w:val="nil"/>
          <w:bottom w:val="nil"/>
          <w:right w:val="nil"/>
          <w:between w:val="nil"/>
        </w:pBdr>
        <w:ind w:left="720"/>
        <w:jc w:val="center"/>
      </w:pPr>
      <w:r w:rsidRPr="00725053">
        <w:rPr>
          <w:b/>
        </w:rPr>
        <w:t xml:space="preserve">ОБҐРУНТУВАННЯ  </w:t>
      </w:r>
    </w:p>
    <w:p w14:paraId="6128522B" w14:textId="1ADEF28D" w:rsidR="00E94343" w:rsidRPr="00725053" w:rsidRDefault="00D768E5" w:rsidP="00E94343">
      <w:pPr>
        <w:jc w:val="center"/>
        <w:rPr>
          <w:i/>
          <w:sz w:val="20"/>
          <w:szCs w:val="20"/>
        </w:rPr>
      </w:pPr>
      <w:r w:rsidRPr="00725053">
        <w:t xml:space="preserve">технічних та якісних характеристик предмета закупівлі, розміру бюджетного призначення та очікуваної вартості предмету закупівлі </w:t>
      </w:r>
      <w:r w:rsidRPr="00725053">
        <w:rPr>
          <w:u w:val="single"/>
        </w:rPr>
        <w:t xml:space="preserve">: </w:t>
      </w:r>
      <w:r w:rsidRPr="00725053">
        <w:rPr>
          <w:rFonts w:eastAsia="Cambria"/>
          <w:b/>
          <w:u w:val="single"/>
          <w:lang w:eastAsia="uk-UA"/>
        </w:rPr>
        <w:t>«</w:t>
      </w:r>
      <w:r w:rsidR="00012187" w:rsidRPr="00725053">
        <w:rPr>
          <w:b/>
          <w:u w:val="single"/>
        </w:rPr>
        <w:t>Реконструкція частини внутрішніх мереж електропостачання лікувального корпусу літ. "Г" КНП «Центральна міська клінічна лікарня» ЧМР з метою влаштування дахової сонячної електростанції за адресую м. Чернівці, вул. Героїв Майдану, 226 ( 1 пусковий комплекс)</w:t>
      </w:r>
      <w:r w:rsidRPr="00725053">
        <w:rPr>
          <w:b/>
          <w:u w:val="single"/>
        </w:rPr>
        <w:t>»</w:t>
      </w:r>
      <w:r w:rsidRPr="00725053">
        <w:rPr>
          <w:b/>
        </w:rPr>
        <w:t xml:space="preserve"> </w:t>
      </w:r>
      <w:r w:rsidR="00012187" w:rsidRPr="00725053">
        <w:rPr>
          <w:b/>
        </w:rPr>
        <w:t xml:space="preserve">                                            </w:t>
      </w:r>
      <w:r w:rsidRPr="00725053">
        <w:rPr>
          <w:b/>
          <w:bCs/>
          <w:spacing w:val="-5"/>
        </w:rPr>
        <w:t xml:space="preserve">         </w:t>
      </w:r>
      <w:r w:rsidRPr="00725053">
        <w:t>((ДК 021:2015: </w:t>
      </w:r>
      <w:r w:rsidR="00012187" w:rsidRPr="00725053">
        <w:t>45250000-4 Будівництво заводів / установок, гірничодобувних і переробних об’єктів та об’єктів нафтогазової інфраструктури (45251000-1 Будівництво електростанцій і теплових станцій 45251100-2 Будівництво електростанцій))</w:t>
      </w:r>
      <w:r w:rsidRPr="00725053">
        <w:t xml:space="preserve">                                                                                                        </w:t>
      </w:r>
      <w:r w:rsidRPr="00725053">
        <w:rPr>
          <w:i/>
          <w:sz w:val="20"/>
          <w:szCs w:val="20"/>
        </w:rPr>
        <w:t>(оприлюднюється на виконання</w:t>
      </w:r>
      <w:r w:rsidR="009A070F" w:rsidRPr="00725053">
        <w:rPr>
          <w:i/>
          <w:sz w:val="20"/>
          <w:szCs w:val="20"/>
        </w:rPr>
        <w:t xml:space="preserve"> до пункту 4</w:t>
      </w:r>
      <w:r w:rsidR="009A070F" w:rsidRPr="00725053">
        <w:rPr>
          <w:i/>
          <w:sz w:val="20"/>
          <w:szCs w:val="20"/>
          <w:vertAlign w:val="superscript"/>
        </w:rPr>
        <w:t>1</w:t>
      </w:r>
      <w:r w:rsidR="009A070F" w:rsidRPr="00725053">
        <w:rPr>
          <w:i/>
          <w:sz w:val="20"/>
          <w:szCs w:val="20"/>
        </w:rPr>
        <w:t xml:space="preserve"> </w:t>
      </w:r>
      <w:r w:rsidRPr="00725053">
        <w:rPr>
          <w:i/>
          <w:sz w:val="20"/>
          <w:szCs w:val="20"/>
        </w:rPr>
        <w:t xml:space="preserve">постанови КМУ № 710 від 11.10.2016 </w:t>
      </w:r>
    </w:p>
    <w:p w14:paraId="5B9804A7" w14:textId="3A7622F8" w:rsidR="00A47AFA" w:rsidRPr="00725053" w:rsidRDefault="00D768E5" w:rsidP="00E94343">
      <w:pPr>
        <w:jc w:val="center"/>
        <w:rPr>
          <w:i/>
          <w:sz w:val="20"/>
          <w:szCs w:val="20"/>
        </w:rPr>
      </w:pPr>
      <w:r w:rsidRPr="00725053">
        <w:rPr>
          <w:i/>
          <w:sz w:val="20"/>
          <w:szCs w:val="20"/>
        </w:rPr>
        <w:t>«Про ефективне використання державних коштів» (зі змінами))</w:t>
      </w:r>
    </w:p>
    <w:p w14:paraId="51643A5D" w14:textId="77777777" w:rsidR="00380718" w:rsidRPr="00725053" w:rsidRDefault="00380718" w:rsidP="00D768E5">
      <w:pPr>
        <w:spacing w:before="280"/>
        <w:rPr>
          <w:b/>
          <w:i/>
          <w:sz w:val="25"/>
          <w:szCs w:val="25"/>
        </w:rPr>
      </w:pPr>
    </w:p>
    <w:p w14:paraId="36CA04B6" w14:textId="417C1CA8" w:rsidR="00D768E5" w:rsidRPr="00725053" w:rsidRDefault="00D768E5" w:rsidP="00D768E5">
      <w:pPr>
        <w:spacing w:before="280"/>
        <w:rPr>
          <w:b/>
          <w:i/>
          <w:sz w:val="25"/>
          <w:szCs w:val="25"/>
          <w:u w:val="single"/>
        </w:rPr>
      </w:pPr>
      <w:r w:rsidRPr="00725053">
        <w:rPr>
          <w:b/>
          <w:i/>
          <w:sz w:val="25"/>
          <w:szCs w:val="25"/>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725053">
        <w:rPr>
          <w:b/>
          <w:i/>
          <w:sz w:val="25"/>
          <w:szCs w:val="25"/>
          <w:u w:val="single"/>
        </w:rPr>
        <w:t>КНП «Центральна міська клінічна лікарня» чернівецької міської ради,                             вул. Героїв Майдану, 226  м. Чернівці, Чернівецької області 58013                                             код ЄДРПОУ 02005763.</w:t>
      </w:r>
    </w:p>
    <w:p w14:paraId="47D20D17" w14:textId="77777777" w:rsidR="006D5897" w:rsidRPr="00725053" w:rsidRDefault="006D5897" w:rsidP="006D5897">
      <w:pPr>
        <w:rPr>
          <w:bCs/>
        </w:rPr>
      </w:pPr>
      <w:r w:rsidRPr="00725053">
        <w:rPr>
          <w:bCs/>
          <w:lang w:val="en-US"/>
        </w:rPr>
        <w:t>e</w:t>
      </w:r>
      <w:r w:rsidRPr="00725053">
        <w:rPr>
          <w:bCs/>
        </w:rPr>
        <w:t>-</w:t>
      </w:r>
      <w:r w:rsidRPr="00725053">
        <w:rPr>
          <w:bCs/>
          <w:lang w:val="en-US"/>
        </w:rPr>
        <w:t>mail</w:t>
      </w:r>
      <w:r w:rsidRPr="00725053">
        <w:rPr>
          <w:bCs/>
        </w:rPr>
        <w:t xml:space="preserve">: </w:t>
      </w:r>
      <w:hyperlink r:id="rId10" w:history="1">
        <w:r w:rsidRPr="00725053">
          <w:rPr>
            <w:rStyle w:val="a8"/>
            <w:bCs/>
            <w:color w:val="auto"/>
            <w:lang w:val="en-US"/>
          </w:rPr>
          <w:t>office</w:t>
        </w:r>
        <w:r w:rsidRPr="00725053">
          <w:rPr>
            <w:rStyle w:val="a8"/>
            <w:bCs/>
            <w:color w:val="auto"/>
          </w:rPr>
          <w:t>@</w:t>
        </w:r>
        <w:proofErr w:type="spellStart"/>
        <w:r w:rsidRPr="00725053">
          <w:rPr>
            <w:rStyle w:val="a8"/>
            <w:bCs/>
            <w:color w:val="auto"/>
            <w:lang w:val="en-US"/>
          </w:rPr>
          <w:t>cmkl</w:t>
        </w:r>
        <w:proofErr w:type="spellEnd"/>
        <w:r w:rsidRPr="00725053">
          <w:rPr>
            <w:rStyle w:val="a8"/>
            <w:bCs/>
            <w:color w:val="auto"/>
          </w:rPr>
          <w:t>.</w:t>
        </w:r>
        <w:r w:rsidRPr="00725053">
          <w:rPr>
            <w:rStyle w:val="a8"/>
            <w:bCs/>
            <w:color w:val="auto"/>
            <w:lang w:val="en-US"/>
          </w:rPr>
          <w:t>cv</w:t>
        </w:r>
        <w:r w:rsidRPr="00725053">
          <w:rPr>
            <w:rStyle w:val="a8"/>
            <w:bCs/>
            <w:color w:val="auto"/>
          </w:rPr>
          <w:t>.</w:t>
        </w:r>
        <w:proofErr w:type="spellStart"/>
        <w:r w:rsidRPr="00725053">
          <w:rPr>
            <w:rStyle w:val="a8"/>
            <w:bCs/>
            <w:color w:val="auto"/>
            <w:lang w:val="en-US"/>
          </w:rPr>
          <w:t>ua</w:t>
        </w:r>
        <w:proofErr w:type="spellEnd"/>
      </w:hyperlink>
    </w:p>
    <w:p w14:paraId="7F2399DF" w14:textId="77777777" w:rsidR="00D768E5" w:rsidRPr="00725053" w:rsidRDefault="00D768E5" w:rsidP="00D768E5">
      <w:pPr>
        <w:rPr>
          <w:b/>
          <w:i/>
          <w:iCs/>
          <w:sz w:val="25"/>
          <w:szCs w:val="25"/>
        </w:rPr>
      </w:pPr>
    </w:p>
    <w:p w14:paraId="4A070B79" w14:textId="0EB6A4E1" w:rsidR="00AB491F" w:rsidRPr="00725053" w:rsidRDefault="00D768E5" w:rsidP="00D05E69">
      <w:r w:rsidRPr="00725053">
        <w:rPr>
          <w:b/>
          <w:i/>
          <w:iCs/>
          <w:sz w:val="25"/>
          <w:szCs w:val="25"/>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725053">
        <w:rPr>
          <w:sz w:val="25"/>
          <w:szCs w:val="25"/>
        </w:rPr>
        <w:t xml:space="preserve">                                                                                                                </w:t>
      </w:r>
      <w:r w:rsidR="00D05E69" w:rsidRPr="00725053">
        <w:rPr>
          <w:rFonts w:eastAsia="Cambria"/>
          <w:b/>
          <w:u w:val="single"/>
          <w:lang w:eastAsia="uk-UA"/>
        </w:rPr>
        <w:t>«</w:t>
      </w:r>
      <w:r w:rsidR="00D05E69" w:rsidRPr="00725053">
        <w:rPr>
          <w:b/>
          <w:u w:val="single"/>
        </w:rPr>
        <w:t>Реконструкція частини внутрішніх мереж електропостачання лікувального корпусу літ. "Г" КНП «Центральна міська клінічна лікарня» ЧМР з метою влаштування дахової сонячної електростанції за адресую м. Чернівці, вул. Героїв Майдану, 226                   ( 1 пусковий комплекс)»</w:t>
      </w:r>
      <w:r w:rsidR="00D05E69" w:rsidRPr="00725053">
        <w:rPr>
          <w:b/>
        </w:rPr>
        <w:t xml:space="preserve"> </w:t>
      </w:r>
      <w:r w:rsidR="00AB491F" w:rsidRPr="00725053">
        <w:t>((ДК 021:2015: </w:t>
      </w:r>
      <w:r w:rsidR="00D05E69" w:rsidRPr="00725053">
        <w:t>45250000-4 Будівництво заводів / установок, гірничодобувних і переробних об’єктів та об’єктів нафтогазової інфраструктури (45251000-1 Будівництво електростанцій і теплових станцій 45251100-2 Будівництво електростанцій</w:t>
      </w:r>
      <w:r w:rsidR="00AB491F" w:rsidRPr="00725053">
        <w:t>))</w:t>
      </w:r>
    </w:p>
    <w:p w14:paraId="173E0B4F" w14:textId="77777777" w:rsidR="00AB491F" w:rsidRPr="00725053" w:rsidRDefault="00AB491F" w:rsidP="00AB491F"/>
    <w:p w14:paraId="10F52747" w14:textId="54938F7E" w:rsidR="00D768E5" w:rsidRPr="00725053" w:rsidRDefault="00D768E5" w:rsidP="00AB491F">
      <w:pPr>
        <w:rPr>
          <w:b/>
          <w:bCs/>
          <w:i/>
          <w:iCs/>
          <w:sz w:val="25"/>
          <w:szCs w:val="25"/>
          <w:u w:val="single"/>
        </w:rPr>
      </w:pPr>
      <w:r w:rsidRPr="00725053">
        <w:rPr>
          <w:b/>
          <w:i/>
          <w:iCs/>
          <w:sz w:val="25"/>
          <w:szCs w:val="25"/>
        </w:rPr>
        <w:t>Вид та ідентифікатор процедури закупівлі:</w:t>
      </w:r>
      <w:r w:rsidR="006D5897" w:rsidRPr="00725053">
        <w:rPr>
          <w:b/>
          <w:i/>
          <w:iCs/>
          <w:sz w:val="25"/>
          <w:szCs w:val="25"/>
        </w:rPr>
        <w:t xml:space="preserve"> </w:t>
      </w:r>
      <w:r w:rsidRPr="00725053">
        <w:rPr>
          <w:i/>
          <w:iCs/>
          <w:sz w:val="25"/>
          <w:szCs w:val="25"/>
        </w:rPr>
        <w:t xml:space="preserve"> </w:t>
      </w:r>
      <w:r w:rsidR="00D05E69" w:rsidRPr="00725053">
        <w:rPr>
          <w:b/>
          <w:bCs/>
          <w:i/>
          <w:iCs/>
          <w:sz w:val="25"/>
          <w:szCs w:val="25"/>
          <w:u w:val="single"/>
        </w:rPr>
        <w:t>UA-2025-12-05-014499-a</w:t>
      </w:r>
      <w:r w:rsidR="00B258BA" w:rsidRPr="00725053">
        <w:rPr>
          <w:b/>
          <w:bCs/>
          <w:i/>
          <w:iCs/>
          <w:sz w:val="25"/>
          <w:szCs w:val="25"/>
          <w:u w:val="single"/>
        </w:rPr>
        <w:t xml:space="preserve"> </w:t>
      </w:r>
      <w:r w:rsidRPr="00725053">
        <w:rPr>
          <w:b/>
          <w:bCs/>
          <w:i/>
          <w:iCs/>
          <w:sz w:val="25"/>
          <w:szCs w:val="25"/>
          <w:u w:val="single"/>
        </w:rPr>
        <w:t xml:space="preserve"> </w:t>
      </w:r>
    </w:p>
    <w:p w14:paraId="48B4CC63" w14:textId="0FDFFD1F" w:rsidR="00267DC1" w:rsidRPr="00725053" w:rsidRDefault="00137387" w:rsidP="00267DC1">
      <w:pPr>
        <w:pStyle w:val="a4"/>
        <w:ind w:left="0"/>
        <w:jc w:val="both"/>
      </w:pPr>
      <w:r w:rsidRPr="00725053">
        <w:t xml:space="preserve">    </w:t>
      </w:r>
      <w:r w:rsidR="00267DC1" w:rsidRPr="00725053">
        <w:t xml:space="preserve">Закупівля здійснюється відповідно до Закону України «Про публічні закупівлі» та Особливостей здійснення публічних </w:t>
      </w:r>
      <w:proofErr w:type="spellStart"/>
      <w:r w:rsidR="00267DC1" w:rsidRPr="00725053">
        <w:t>закупівель</w:t>
      </w:r>
      <w:proofErr w:type="spellEnd"/>
      <w:r w:rsidR="00267DC1" w:rsidRPr="00725053">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й доповненнями) затверджених постановою Кабінету міністрів України від 12 жовтня 2022 року № 1178.</w:t>
      </w:r>
    </w:p>
    <w:p w14:paraId="1EFE3647" w14:textId="77777777" w:rsidR="00D05E69" w:rsidRPr="00725053" w:rsidRDefault="00D05E69" w:rsidP="00267DC1">
      <w:pPr>
        <w:pStyle w:val="a4"/>
        <w:ind w:left="0"/>
        <w:jc w:val="both"/>
      </w:pPr>
    </w:p>
    <w:p w14:paraId="0705DEA5" w14:textId="77777777" w:rsidR="00D05E69" w:rsidRPr="00725053" w:rsidRDefault="00D768E5" w:rsidP="00D05E69">
      <w:pPr>
        <w:jc w:val="both"/>
      </w:pPr>
      <w:r w:rsidRPr="00725053">
        <w:rPr>
          <w:b/>
          <w:i/>
          <w:iCs/>
          <w:sz w:val="25"/>
          <w:szCs w:val="25"/>
        </w:rPr>
        <w:lastRenderedPageBreak/>
        <w:t>Очікувана вартість та обґрунтування очікуваної вартості предмета закупівлі:</w:t>
      </w:r>
      <w:r w:rsidRPr="00725053">
        <w:rPr>
          <w:sz w:val="25"/>
          <w:szCs w:val="25"/>
        </w:rPr>
        <w:t xml:space="preserve">                    </w:t>
      </w:r>
      <w:r w:rsidR="00D05E69" w:rsidRPr="00725053">
        <w:rPr>
          <w:b/>
          <w:bCs/>
          <w:u w:val="single"/>
        </w:rPr>
        <w:t>757 881,60 грн</w:t>
      </w:r>
      <w:r w:rsidR="00D05E69" w:rsidRPr="00725053">
        <w:t>.</w:t>
      </w:r>
      <w:r w:rsidR="00D05E69" w:rsidRPr="00725053">
        <w:rPr>
          <w:b/>
          <w:bCs/>
          <w:i/>
          <w:iCs/>
          <w:u w:val="single"/>
        </w:rPr>
        <w:t xml:space="preserve"> ( сімсот п’ятдесят сім тисяч вісімсот вісімдесят одна гривня 60 копійок)</w:t>
      </w:r>
      <w:r w:rsidR="00D05E69" w:rsidRPr="00725053">
        <w:t xml:space="preserve">, у тому числі: ПДВ  </w:t>
      </w:r>
      <w:r w:rsidR="00D05E69" w:rsidRPr="00725053">
        <w:rPr>
          <w:b/>
          <w:bCs/>
        </w:rPr>
        <w:t>126 313,60</w:t>
      </w:r>
      <w:r w:rsidR="00D05E69" w:rsidRPr="00725053">
        <w:t xml:space="preserve"> гривень, </w:t>
      </w:r>
      <w:r w:rsidR="00D05E69" w:rsidRPr="00725053">
        <w:rPr>
          <w:bCs/>
          <w:sz w:val="23"/>
          <w:szCs w:val="23"/>
        </w:rPr>
        <w:t>з яких:</w:t>
      </w:r>
    </w:p>
    <w:p w14:paraId="073B1EF6" w14:textId="1974F51F" w:rsidR="00D05E69" w:rsidRPr="00725053" w:rsidRDefault="00D05E69" w:rsidP="00D05E69">
      <w:pPr>
        <w:jc w:val="both"/>
      </w:pPr>
      <w:r w:rsidRPr="00725053">
        <w:rPr>
          <w:rFonts w:cs="Calibri"/>
        </w:rPr>
        <w:t xml:space="preserve"> </w:t>
      </w:r>
      <w:r w:rsidRPr="00725053">
        <w:t xml:space="preserve">- за рахунок бюджету Чернівецької міської територіальної громади </w:t>
      </w:r>
      <w:r w:rsidRPr="00725053">
        <w:rPr>
          <w:b/>
          <w:bCs/>
        </w:rPr>
        <w:t>650 000,00</w:t>
      </w:r>
      <w:r w:rsidRPr="00725053">
        <w:rPr>
          <w:b/>
          <w:bCs/>
          <w:sz w:val="23"/>
          <w:szCs w:val="23"/>
        </w:rPr>
        <w:t>грн</w:t>
      </w:r>
      <w:r w:rsidRPr="00725053">
        <w:rPr>
          <w:b/>
          <w:sz w:val="23"/>
          <w:szCs w:val="23"/>
        </w:rPr>
        <w:t>. ( Шістсот п’ятдесят тисяч гривень 00 копійок</w:t>
      </w:r>
      <w:r w:rsidRPr="00725053">
        <w:t xml:space="preserve">, у тому числі: ПДВ  108333,33 гривень. </w:t>
      </w:r>
    </w:p>
    <w:p w14:paraId="79046AEA" w14:textId="36EC69FF" w:rsidR="00616FC7" w:rsidRPr="00725053" w:rsidRDefault="00D05E69" w:rsidP="00D05E69">
      <w:pPr>
        <w:jc w:val="both"/>
        <w:rPr>
          <w:sz w:val="25"/>
          <w:szCs w:val="25"/>
        </w:rPr>
      </w:pPr>
      <w:r w:rsidRPr="00725053">
        <w:t xml:space="preserve">-  та за рахунок власних коштів на банківському рахунку підприємства </w:t>
      </w:r>
      <w:r w:rsidRPr="00725053">
        <w:rPr>
          <w:b/>
          <w:bCs/>
        </w:rPr>
        <w:t>107 881,60</w:t>
      </w:r>
      <w:r w:rsidRPr="00725053">
        <w:rPr>
          <w:b/>
          <w:bCs/>
          <w:sz w:val="23"/>
          <w:szCs w:val="23"/>
        </w:rPr>
        <w:t>грн</w:t>
      </w:r>
      <w:r w:rsidRPr="00725053">
        <w:rPr>
          <w:b/>
          <w:sz w:val="23"/>
          <w:szCs w:val="23"/>
        </w:rPr>
        <w:t>. ( Сто сім тисяч вісімсот вісімдесят одна гривень 60 копійок</w:t>
      </w:r>
      <w:r w:rsidRPr="00725053">
        <w:t xml:space="preserve">, у тому числі: ПДВ 17980,27 гривень. </w:t>
      </w:r>
      <w:r w:rsidR="00D768E5" w:rsidRPr="00725053">
        <w:rPr>
          <w:sz w:val="25"/>
          <w:szCs w:val="25"/>
        </w:rPr>
        <w:t xml:space="preserve"> </w:t>
      </w:r>
      <w:r w:rsidR="003103EF" w:rsidRPr="00725053">
        <w:rPr>
          <w:bdr w:val="none" w:sz="0" w:space="0" w:color="auto" w:frame="1"/>
        </w:rPr>
        <w:t xml:space="preserve">витрати на </w:t>
      </w:r>
      <w:r w:rsidR="009B6E25" w:rsidRPr="00725053">
        <w:rPr>
          <w:bdr w:val="none" w:sz="0" w:space="0" w:color="auto" w:frame="1"/>
        </w:rPr>
        <w:t>будівництво/</w:t>
      </w:r>
      <w:r w:rsidR="003103EF" w:rsidRPr="00725053">
        <w:rPr>
          <w:bdr w:val="none" w:sz="0" w:space="0" w:color="auto" w:frame="1"/>
        </w:rPr>
        <w:t xml:space="preserve">ремонт без врахування коштів на утримання служби замовника, інжинірингові послуги (здійснення технічного нагляду) та коштів на </w:t>
      </w:r>
      <w:proofErr w:type="spellStart"/>
      <w:r w:rsidR="003103EF" w:rsidRPr="00725053">
        <w:rPr>
          <w:bdr w:val="none" w:sz="0" w:space="0" w:color="auto" w:frame="1"/>
        </w:rPr>
        <w:t>проєктні</w:t>
      </w:r>
      <w:proofErr w:type="spellEnd"/>
      <w:r w:rsidR="003103EF" w:rsidRPr="00725053">
        <w:rPr>
          <w:bdr w:val="none" w:sz="0" w:space="0" w:color="auto" w:frame="1"/>
        </w:rPr>
        <w:t xml:space="preserve">, </w:t>
      </w:r>
      <w:proofErr w:type="spellStart"/>
      <w:r w:rsidR="003103EF" w:rsidRPr="00725053">
        <w:rPr>
          <w:bdr w:val="none" w:sz="0" w:space="0" w:color="auto" w:frame="1"/>
        </w:rPr>
        <w:t>вишукувальн</w:t>
      </w:r>
      <w:proofErr w:type="spellEnd"/>
      <w:r w:rsidR="003103EF" w:rsidRPr="00725053">
        <w:rPr>
          <w:bdr w:val="none" w:sz="0" w:space="0" w:color="auto" w:frame="1"/>
          <w:lang w:val="ru-RU"/>
        </w:rPr>
        <w:t>i</w:t>
      </w:r>
      <w:r w:rsidR="003103EF" w:rsidRPr="00725053">
        <w:rPr>
          <w:bdr w:val="none" w:sz="0" w:space="0" w:color="auto" w:frame="1"/>
        </w:rPr>
        <w:t xml:space="preserve"> роботи, експертизу та авторський нагляд.</w:t>
      </w:r>
    </w:p>
    <w:p w14:paraId="77985E92" w14:textId="12134D19" w:rsidR="00137387" w:rsidRPr="00725053" w:rsidRDefault="00D768E5" w:rsidP="00F56B2D">
      <w:pPr>
        <w:spacing w:before="240" w:after="100" w:afterAutospacing="1"/>
        <w:jc w:val="both"/>
        <w:rPr>
          <w:i/>
          <w:iCs/>
          <w:u w:val="single"/>
        </w:rPr>
      </w:pPr>
      <w:r w:rsidRPr="00725053">
        <w:rPr>
          <w:sz w:val="25"/>
          <w:szCs w:val="25"/>
        </w:rPr>
        <w:t>Визначення очікуваної вартості предмета закупівлі</w:t>
      </w:r>
      <w:r w:rsidR="00137387" w:rsidRPr="00725053">
        <w:rPr>
          <w:sz w:val="25"/>
          <w:szCs w:val="25"/>
        </w:rPr>
        <w:t>:</w:t>
      </w:r>
      <w:r w:rsidRPr="00725053">
        <w:rPr>
          <w:sz w:val="25"/>
          <w:szCs w:val="25"/>
        </w:rPr>
        <w:t xml:space="preserve"> </w:t>
      </w:r>
      <w:r w:rsidR="00137387" w:rsidRPr="00725053">
        <w:rPr>
          <w:i/>
          <w:iCs/>
          <w:u w:val="single"/>
        </w:rPr>
        <w:t>Розмір очікуваної вартості предмета закупівлі визначено згідно із Зведеним кошторисним розрахунком, який знаходиться в складі проектної документації на «</w:t>
      </w:r>
      <w:r w:rsidR="00D05E69" w:rsidRPr="00725053">
        <w:rPr>
          <w:i/>
          <w:iCs/>
          <w:u w:val="single"/>
        </w:rPr>
        <w:t>Реконструкція частини внутрішніх мереж електропостачання лікувального корпусу літ. "Г" КНП «Центральна міська клінічна лікарня» ЧМР з метою влаштування дахової сонячної електростанції за адресую м. Чернівці, вул. Героїв Майдану, 226 (1 пусковий комплекс)</w:t>
      </w:r>
      <w:r w:rsidR="00137387" w:rsidRPr="00725053">
        <w:rPr>
          <w:i/>
          <w:iCs/>
          <w:u w:val="single"/>
        </w:rPr>
        <w:t xml:space="preserve">», та підтверджено в Експертному звіті (позитивному)  від </w:t>
      </w:r>
      <w:r w:rsidR="00D05E69" w:rsidRPr="00725053">
        <w:rPr>
          <w:i/>
          <w:iCs/>
          <w:u w:val="single"/>
        </w:rPr>
        <w:t>23</w:t>
      </w:r>
      <w:r w:rsidR="00137387" w:rsidRPr="00725053">
        <w:rPr>
          <w:i/>
          <w:iCs/>
          <w:u w:val="single"/>
        </w:rPr>
        <w:t>.</w:t>
      </w:r>
      <w:r w:rsidR="00D05E69" w:rsidRPr="00725053">
        <w:rPr>
          <w:i/>
          <w:iCs/>
          <w:u w:val="single"/>
        </w:rPr>
        <w:t>1</w:t>
      </w:r>
      <w:r w:rsidR="00137387" w:rsidRPr="00725053">
        <w:rPr>
          <w:i/>
          <w:iCs/>
          <w:u w:val="single"/>
        </w:rPr>
        <w:t>0.2025року №</w:t>
      </w:r>
      <w:r w:rsidR="00D05E69" w:rsidRPr="00725053">
        <w:rPr>
          <w:i/>
          <w:iCs/>
          <w:u w:val="single"/>
        </w:rPr>
        <w:t>53081</w:t>
      </w:r>
      <w:r w:rsidR="00137387" w:rsidRPr="00725053">
        <w:rPr>
          <w:i/>
          <w:iCs/>
          <w:u w:val="single"/>
        </w:rPr>
        <w:t xml:space="preserve"> ТОВ «Експертиза МВК».</w:t>
      </w:r>
    </w:p>
    <w:p w14:paraId="588A15EB" w14:textId="77777777" w:rsidR="00B00B29" w:rsidRPr="00725053" w:rsidRDefault="00D768E5" w:rsidP="00F56B2D">
      <w:pPr>
        <w:jc w:val="both"/>
        <w:rPr>
          <w:b/>
          <w:bCs/>
          <w:i/>
          <w:iCs/>
          <w:u w:val="single"/>
        </w:rPr>
      </w:pPr>
      <w:r w:rsidRPr="00725053">
        <w:rPr>
          <w:b/>
          <w:i/>
          <w:iCs/>
          <w:sz w:val="25"/>
          <w:szCs w:val="25"/>
        </w:rPr>
        <w:t>Розмір бюджетного призначення:</w:t>
      </w:r>
      <w:r w:rsidR="00B00B29" w:rsidRPr="00725053">
        <w:rPr>
          <w:b/>
          <w:i/>
          <w:iCs/>
          <w:sz w:val="25"/>
          <w:szCs w:val="25"/>
        </w:rPr>
        <w:t xml:space="preserve"> </w:t>
      </w:r>
      <w:r w:rsidR="00B00B29" w:rsidRPr="00725053">
        <w:rPr>
          <w:b/>
          <w:bCs/>
          <w:u w:val="single"/>
        </w:rPr>
        <w:t>757 881,60 грн</w:t>
      </w:r>
      <w:r w:rsidR="00B00B29" w:rsidRPr="00725053">
        <w:t>.</w:t>
      </w:r>
      <w:r w:rsidR="00B00B29" w:rsidRPr="00725053">
        <w:rPr>
          <w:b/>
          <w:bCs/>
          <w:i/>
          <w:iCs/>
          <w:u w:val="single"/>
        </w:rPr>
        <w:t xml:space="preserve"> ( сімсот п’ятдесят сім тисяч вісімсот вісімдесят одна гривня 60 копійок)</w:t>
      </w:r>
    </w:p>
    <w:p w14:paraId="5254D0A2" w14:textId="328E3695" w:rsidR="00D768E5" w:rsidRPr="00725053" w:rsidRDefault="00D768E5" w:rsidP="00B00B29">
      <w:pPr>
        <w:rPr>
          <w:sz w:val="25"/>
          <w:szCs w:val="25"/>
        </w:rPr>
      </w:pPr>
      <w:r w:rsidRPr="00725053">
        <w:rPr>
          <w:sz w:val="25"/>
          <w:szCs w:val="25"/>
        </w:rPr>
        <w:t xml:space="preserve"> </w:t>
      </w:r>
      <w:r w:rsidR="00F83D88" w:rsidRPr="00725053">
        <w:rPr>
          <w:b/>
          <w:bCs/>
          <w:i/>
          <w:iCs/>
          <w:sz w:val="25"/>
          <w:szCs w:val="25"/>
          <w:u w:val="single"/>
        </w:rPr>
        <w:t>Виділення додаткових асигнувань</w:t>
      </w:r>
      <w:r w:rsidR="008E70D2" w:rsidRPr="00725053">
        <w:rPr>
          <w:b/>
          <w:bCs/>
          <w:i/>
          <w:iCs/>
          <w:sz w:val="25"/>
          <w:szCs w:val="25"/>
          <w:u w:val="single"/>
        </w:rPr>
        <w:t xml:space="preserve"> на 2025 рік</w:t>
      </w:r>
      <w:r w:rsidR="00B00B29" w:rsidRPr="00725053">
        <w:rPr>
          <w:sz w:val="25"/>
          <w:szCs w:val="25"/>
        </w:rPr>
        <w:t xml:space="preserve">: </w:t>
      </w:r>
      <w:r w:rsidR="00D05E69" w:rsidRPr="00725053">
        <w:rPr>
          <w:b/>
          <w:bCs/>
          <w:i/>
          <w:iCs/>
          <w:sz w:val="25"/>
          <w:szCs w:val="25"/>
          <w:u w:val="single"/>
          <w:shd w:val="clear" w:color="auto" w:fill="FFFFFF"/>
        </w:rPr>
        <w:t>650 000</w:t>
      </w:r>
      <w:r w:rsidR="00D635C7" w:rsidRPr="00725053">
        <w:rPr>
          <w:b/>
          <w:bCs/>
          <w:i/>
          <w:iCs/>
          <w:sz w:val="25"/>
          <w:szCs w:val="25"/>
          <w:u w:val="single"/>
          <w:shd w:val="clear" w:color="auto" w:fill="FFFFFF"/>
        </w:rPr>
        <w:t>,00</w:t>
      </w:r>
      <w:r w:rsidRPr="00725053">
        <w:rPr>
          <w:b/>
          <w:bCs/>
          <w:i/>
          <w:iCs/>
          <w:sz w:val="25"/>
          <w:szCs w:val="25"/>
          <w:u w:val="single"/>
        </w:rPr>
        <w:t xml:space="preserve"> грн.</w:t>
      </w:r>
      <w:r w:rsidRPr="00725053">
        <w:rPr>
          <w:sz w:val="25"/>
          <w:szCs w:val="25"/>
        </w:rPr>
        <w:t xml:space="preserve"> згідно з Довідкою</w:t>
      </w:r>
      <w:r w:rsidR="00B00B29" w:rsidRPr="00725053">
        <w:rPr>
          <w:sz w:val="25"/>
          <w:szCs w:val="25"/>
        </w:rPr>
        <w:t xml:space="preserve"> </w:t>
      </w:r>
      <w:r w:rsidRPr="00725053">
        <w:rPr>
          <w:sz w:val="25"/>
          <w:szCs w:val="25"/>
        </w:rPr>
        <w:t xml:space="preserve">Управління ОЗ Чернівецької МР про зміни </w:t>
      </w:r>
      <w:r w:rsidR="00B00B29" w:rsidRPr="00725053">
        <w:rPr>
          <w:sz w:val="25"/>
          <w:szCs w:val="25"/>
        </w:rPr>
        <w:t xml:space="preserve">плану використання </w:t>
      </w:r>
      <w:r w:rsidRPr="00725053">
        <w:rPr>
          <w:sz w:val="25"/>
          <w:szCs w:val="25"/>
        </w:rPr>
        <w:t>бюджет</w:t>
      </w:r>
      <w:r w:rsidR="00B00B29" w:rsidRPr="00725053">
        <w:rPr>
          <w:sz w:val="25"/>
          <w:szCs w:val="25"/>
        </w:rPr>
        <w:t>них коштів</w:t>
      </w:r>
      <w:r w:rsidRPr="00725053">
        <w:rPr>
          <w:sz w:val="25"/>
          <w:szCs w:val="25"/>
        </w:rPr>
        <w:t xml:space="preserve">  на 2025 рік </w:t>
      </w:r>
      <w:r w:rsidRPr="00725053">
        <w:rPr>
          <w:sz w:val="25"/>
          <w:szCs w:val="25"/>
          <w:u w:val="single"/>
        </w:rPr>
        <w:t xml:space="preserve">від </w:t>
      </w:r>
      <w:r w:rsidR="00D05E69" w:rsidRPr="00725053">
        <w:rPr>
          <w:sz w:val="25"/>
          <w:szCs w:val="25"/>
          <w:u w:val="single"/>
        </w:rPr>
        <w:t>08</w:t>
      </w:r>
      <w:r w:rsidRPr="00725053">
        <w:rPr>
          <w:sz w:val="25"/>
          <w:szCs w:val="25"/>
          <w:u w:val="single"/>
        </w:rPr>
        <w:t>.</w:t>
      </w:r>
      <w:r w:rsidR="00D635C7" w:rsidRPr="00725053">
        <w:rPr>
          <w:sz w:val="25"/>
          <w:szCs w:val="25"/>
          <w:u w:val="single"/>
        </w:rPr>
        <w:t>1</w:t>
      </w:r>
      <w:r w:rsidR="00D05E69" w:rsidRPr="00725053">
        <w:rPr>
          <w:sz w:val="25"/>
          <w:szCs w:val="25"/>
          <w:u w:val="single"/>
        </w:rPr>
        <w:t>2</w:t>
      </w:r>
      <w:r w:rsidRPr="00725053">
        <w:rPr>
          <w:sz w:val="25"/>
          <w:szCs w:val="25"/>
          <w:u w:val="single"/>
        </w:rPr>
        <w:t xml:space="preserve">.2025 р. № </w:t>
      </w:r>
      <w:r w:rsidR="00D05E69" w:rsidRPr="00725053">
        <w:rPr>
          <w:sz w:val="25"/>
          <w:szCs w:val="25"/>
          <w:u w:val="single"/>
        </w:rPr>
        <w:t>13</w:t>
      </w:r>
      <w:r w:rsidRPr="00725053">
        <w:rPr>
          <w:sz w:val="25"/>
          <w:szCs w:val="25"/>
          <w:u w:val="single"/>
        </w:rPr>
        <w:t>.</w:t>
      </w:r>
      <w:r w:rsidRPr="00725053">
        <w:rPr>
          <w:sz w:val="25"/>
          <w:szCs w:val="25"/>
        </w:rPr>
        <w:t xml:space="preserve"> </w:t>
      </w:r>
    </w:p>
    <w:p w14:paraId="14D0CE5E" w14:textId="38F9577A" w:rsidR="00B00B29" w:rsidRPr="00725053" w:rsidRDefault="00B00B29" w:rsidP="00B00B29">
      <w:pPr>
        <w:rPr>
          <w:sz w:val="25"/>
          <w:szCs w:val="25"/>
        </w:rPr>
      </w:pPr>
      <w:r w:rsidRPr="00725053">
        <w:rPr>
          <w:b/>
          <w:bCs/>
          <w:sz w:val="25"/>
          <w:szCs w:val="25"/>
          <w:u w:val="single"/>
        </w:rPr>
        <w:t xml:space="preserve">та </w:t>
      </w:r>
      <w:r w:rsidRPr="00725053">
        <w:rPr>
          <w:b/>
          <w:bCs/>
          <w:u w:val="single"/>
        </w:rPr>
        <w:t>власні кошти</w:t>
      </w:r>
      <w:r w:rsidRPr="00725053">
        <w:t xml:space="preserve"> на банківському рахунку підприємства </w:t>
      </w:r>
      <w:r w:rsidRPr="00725053">
        <w:rPr>
          <w:b/>
          <w:bCs/>
          <w:u w:val="single"/>
        </w:rPr>
        <w:t xml:space="preserve">107 881,60 </w:t>
      </w:r>
      <w:r w:rsidRPr="00725053">
        <w:rPr>
          <w:b/>
          <w:bCs/>
          <w:sz w:val="23"/>
          <w:szCs w:val="23"/>
          <w:u w:val="single"/>
        </w:rPr>
        <w:t>грн</w:t>
      </w:r>
      <w:r w:rsidRPr="00725053">
        <w:rPr>
          <w:b/>
          <w:sz w:val="23"/>
          <w:szCs w:val="23"/>
        </w:rPr>
        <w:t>. ( Сто сім тисяч вісімсот вісімдесят одна гривень 60 копійок).</w:t>
      </w:r>
    </w:p>
    <w:p w14:paraId="1AD4AEBF" w14:textId="2472F949" w:rsidR="00D768E5" w:rsidRPr="00725053" w:rsidRDefault="00B43750" w:rsidP="00B00B29">
      <w:pPr>
        <w:rPr>
          <w:b/>
          <w:bCs/>
        </w:rPr>
      </w:pPr>
      <w:r w:rsidRPr="00725053">
        <w:rPr>
          <w:b/>
          <w:bCs/>
          <w:i/>
          <w:iCs/>
        </w:rPr>
        <w:t xml:space="preserve"> </w:t>
      </w:r>
      <w:r w:rsidR="00D768E5" w:rsidRPr="00725053">
        <w:rPr>
          <w:b/>
          <w:bCs/>
          <w:i/>
          <w:iCs/>
        </w:rPr>
        <w:t>Джерело</w:t>
      </w:r>
      <w:r w:rsidR="00B00B29" w:rsidRPr="00725053">
        <w:rPr>
          <w:b/>
          <w:bCs/>
          <w:i/>
          <w:iCs/>
        </w:rPr>
        <w:t>/а</w:t>
      </w:r>
      <w:r w:rsidR="00D768E5" w:rsidRPr="00725053">
        <w:rPr>
          <w:b/>
          <w:bCs/>
          <w:i/>
          <w:iCs/>
        </w:rPr>
        <w:t xml:space="preserve"> фінансування: </w:t>
      </w:r>
      <w:r w:rsidR="00D768E5" w:rsidRPr="00725053">
        <w:rPr>
          <w:b/>
          <w:bCs/>
          <w:i/>
          <w:iCs/>
          <w:u w:val="single"/>
        </w:rPr>
        <w:t xml:space="preserve">Бюджет Чернівецької міської територіальної громади. </w:t>
      </w:r>
      <w:r w:rsidR="00B00B29" w:rsidRPr="00725053">
        <w:rPr>
          <w:b/>
          <w:bCs/>
          <w:i/>
          <w:iCs/>
          <w:u w:val="single"/>
        </w:rPr>
        <w:t xml:space="preserve">                                   </w:t>
      </w:r>
      <w:r w:rsidR="00B00B29" w:rsidRPr="00725053">
        <w:rPr>
          <w:b/>
          <w:bCs/>
        </w:rPr>
        <w:t>та</w:t>
      </w:r>
    </w:p>
    <w:p w14:paraId="45A2DB6A" w14:textId="77777777" w:rsidR="00B00B29" w:rsidRPr="00725053" w:rsidRDefault="00B00B29" w:rsidP="00B00B29">
      <w:pPr>
        <w:rPr>
          <w:b/>
          <w:bCs/>
          <w:i/>
          <w:iCs/>
          <w:u w:val="single"/>
        </w:rPr>
      </w:pPr>
      <w:r w:rsidRPr="00725053">
        <w:rPr>
          <w:b/>
          <w:bCs/>
          <w:i/>
          <w:iCs/>
          <w:u w:val="single"/>
        </w:rPr>
        <w:t>Власний бюджет(кошти від господарської діяльності підприємства)</w:t>
      </w:r>
    </w:p>
    <w:p w14:paraId="13357C5F" w14:textId="312EC74E" w:rsidR="00B00B29" w:rsidRPr="00725053" w:rsidRDefault="00B00B29" w:rsidP="00B00B29">
      <w:pPr>
        <w:spacing w:after="280"/>
        <w:rPr>
          <w:i/>
          <w:iCs/>
          <w:u w:val="single"/>
        </w:rPr>
      </w:pPr>
      <w:r w:rsidRPr="00725053">
        <w:rPr>
          <w:b/>
          <w:bCs/>
          <w:i/>
          <w:iCs/>
          <w:u w:val="single"/>
        </w:rPr>
        <w:t>Опис джерела фінансування:</w:t>
      </w:r>
      <w:r w:rsidR="0044024E" w:rsidRPr="00725053">
        <w:rPr>
          <w:b/>
          <w:bCs/>
          <w:i/>
          <w:iCs/>
          <w:u w:val="single"/>
        </w:rPr>
        <w:t xml:space="preserve"> </w:t>
      </w:r>
      <w:r w:rsidRPr="00725053">
        <w:rPr>
          <w:i/>
          <w:iCs/>
          <w:u w:val="single"/>
        </w:rPr>
        <w:t>Спеціальний фонд (платні послуги, що надаються відповідно до законодавства)</w:t>
      </w:r>
      <w:r w:rsidR="009345CB" w:rsidRPr="00725053">
        <w:rPr>
          <w:i/>
          <w:iCs/>
          <w:u w:val="single"/>
        </w:rPr>
        <w:t xml:space="preserve">. </w:t>
      </w:r>
    </w:p>
    <w:p w14:paraId="6C408B55" w14:textId="77777777" w:rsidR="00D768E5" w:rsidRPr="00725053" w:rsidRDefault="00D768E5" w:rsidP="00D768E5">
      <w:pPr>
        <w:spacing w:before="280" w:after="280"/>
        <w:jc w:val="both"/>
        <w:rPr>
          <w:b/>
          <w:bCs/>
          <w:i/>
          <w:iCs/>
          <w:u w:val="single"/>
        </w:rPr>
      </w:pPr>
      <w:r w:rsidRPr="00725053">
        <w:rPr>
          <w:b/>
          <w:bCs/>
          <w:i/>
          <w:iCs/>
        </w:rPr>
        <w:t xml:space="preserve">КФКВ : </w:t>
      </w:r>
      <w:r w:rsidRPr="00725053">
        <w:rPr>
          <w:b/>
          <w:bCs/>
          <w:i/>
          <w:iCs/>
          <w:u w:val="single"/>
        </w:rPr>
        <w:t xml:space="preserve">0712010 «Багатопрофільна стаціонарна медична допомога населенню». </w:t>
      </w:r>
    </w:p>
    <w:p w14:paraId="10CCBB58" w14:textId="37C1E547" w:rsidR="0096240B" w:rsidRPr="00725053" w:rsidRDefault="00D768E5" w:rsidP="0096240B">
      <w:pPr>
        <w:spacing w:before="280" w:after="280"/>
        <w:jc w:val="both"/>
        <w:rPr>
          <w:b/>
          <w:bCs/>
          <w:i/>
          <w:iCs/>
          <w:u w:val="single"/>
        </w:rPr>
      </w:pPr>
      <w:r w:rsidRPr="00725053">
        <w:rPr>
          <w:b/>
          <w:bCs/>
          <w:i/>
          <w:iCs/>
        </w:rPr>
        <w:t xml:space="preserve">КЕКВ : </w:t>
      </w:r>
      <w:r w:rsidR="0096240B" w:rsidRPr="00725053">
        <w:rPr>
          <w:b/>
          <w:bCs/>
          <w:i/>
          <w:iCs/>
          <w:u w:val="single"/>
        </w:rPr>
        <w:t xml:space="preserve">3142 „Реконструкція та реставрація інших об’єктів” </w:t>
      </w:r>
    </w:p>
    <w:p w14:paraId="1E81D1DD" w14:textId="6A3F131A" w:rsidR="00D768E5" w:rsidRPr="00725053" w:rsidRDefault="00D768E5" w:rsidP="0096240B">
      <w:pPr>
        <w:spacing w:before="280" w:after="280"/>
        <w:jc w:val="both"/>
        <w:rPr>
          <w:b/>
          <w:sz w:val="25"/>
          <w:szCs w:val="25"/>
        </w:rPr>
      </w:pPr>
      <w:r w:rsidRPr="00725053">
        <w:rPr>
          <w:b/>
          <w:i/>
          <w:iCs/>
          <w:sz w:val="25"/>
          <w:szCs w:val="25"/>
        </w:rPr>
        <w:t>Обґрунтування технічних та якісних характеристик предмета закупівлі:</w:t>
      </w:r>
    </w:p>
    <w:p w14:paraId="21A8C600" w14:textId="4F3E0ED5" w:rsidR="00267DC1" w:rsidRPr="00725053" w:rsidRDefault="00770ACC" w:rsidP="00616FC7">
      <w:pPr>
        <w:jc w:val="both"/>
      </w:pPr>
      <w:r w:rsidRPr="00725053">
        <w:t>Технічні та якісні характеристики предмета закупівлі розроблені на основі проектно-кошторисної документації. Технічна специфікація сформована з відомостей обсягів робіт, які є частиною проектно-кошторисної документації, яка розроблена проектною організацією, яка має відповідні знання та компетенцію, та затверджена</w:t>
      </w:r>
      <w:r w:rsidR="00FF756E" w:rsidRPr="00725053">
        <w:t xml:space="preserve"> Позитивним</w:t>
      </w:r>
      <w:r w:rsidRPr="00725053">
        <w:t xml:space="preserve"> ЕКСПЕРТНИМ ЗВІТОМ</w:t>
      </w:r>
      <w:r w:rsidR="00F83D88" w:rsidRPr="00725053">
        <w:t>.</w:t>
      </w:r>
    </w:p>
    <w:p w14:paraId="4F4E8E07" w14:textId="77777777" w:rsidR="00F83D88" w:rsidRPr="00725053" w:rsidRDefault="00F83D88" w:rsidP="00616FC7">
      <w:pPr>
        <w:ind w:firstLine="284"/>
        <w:jc w:val="both"/>
        <w:rPr>
          <w:sz w:val="25"/>
          <w:szCs w:val="25"/>
        </w:rPr>
      </w:pPr>
    </w:p>
    <w:p w14:paraId="370A12CF" w14:textId="1D321C27" w:rsidR="00616FC7" w:rsidRPr="00725053" w:rsidRDefault="00D768E5" w:rsidP="00616FC7">
      <w:pPr>
        <w:ind w:firstLine="284"/>
        <w:jc w:val="both"/>
        <w:rPr>
          <w:i/>
          <w:iCs/>
          <w:u w:val="single"/>
        </w:rPr>
      </w:pPr>
      <w:r w:rsidRPr="00725053">
        <w:rPr>
          <w:sz w:val="25"/>
          <w:szCs w:val="25"/>
        </w:rPr>
        <w:t>Термін постачання</w:t>
      </w:r>
      <w:r w:rsidR="00267DC1" w:rsidRPr="00725053">
        <w:rPr>
          <w:sz w:val="25"/>
          <w:szCs w:val="25"/>
        </w:rPr>
        <w:t xml:space="preserve">/виконання робіт, послуг </w:t>
      </w:r>
      <w:r w:rsidRPr="00725053">
        <w:rPr>
          <w:sz w:val="25"/>
          <w:szCs w:val="25"/>
        </w:rPr>
        <w:t xml:space="preserve">— </w:t>
      </w:r>
      <w:r w:rsidR="00616FC7" w:rsidRPr="00725053">
        <w:rPr>
          <w:i/>
          <w:iCs/>
          <w:u w:val="single"/>
        </w:rPr>
        <w:t>Строки виконання робіт визначаються календарним графіком виконання робіт, який є невід'ємною частиною Договору (Додаток №2 до Договору), до 1</w:t>
      </w:r>
      <w:r w:rsidR="00FF756E" w:rsidRPr="00725053">
        <w:rPr>
          <w:i/>
          <w:iCs/>
          <w:u w:val="single"/>
        </w:rPr>
        <w:t>5</w:t>
      </w:r>
      <w:r w:rsidR="00616FC7" w:rsidRPr="00725053">
        <w:rPr>
          <w:i/>
          <w:iCs/>
          <w:u w:val="single"/>
        </w:rPr>
        <w:t xml:space="preserve"> грудня 2025 року. </w:t>
      </w:r>
    </w:p>
    <w:p w14:paraId="18806572" w14:textId="6D37D014" w:rsidR="00616FC7" w:rsidRPr="00725053" w:rsidRDefault="00616FC7" w:rsidP="00616FC7">
      <w:pPr>
        <w:ind w:firstLine="284"/>
        <w:jc w:val="both"/>
        <w:rPr>
          <w:i/>
          <w:iCs/>
          <w:u w:val="single"/>
        </w:rPr>
      </w:pPr>
      <w:r w:rsidRPr="00725053">
        <w:rPr>
          <w:i/>
          <w:iCs/>
          <w:u w:val="single"/>
        </w:rPr>
        <w:t xml:space="preserve">Виконання робіт може бути закінчено достроково за згодою Замовника. </w:t>
      </w:r>
    </w:p>
    <w:p w14:paraId="755CC67A" w14:textId="7957C958" w:rsidR="00D768E5" w:rsidRPr="00725053" w:rsidRDefault="00D768E5" w:rsidP="00616FC7">
      <w:pPr>
        <w:jc w:val="both"/>
        <w:rPr>
          <w:sz w:val="25"/>
          <w:szCs w:val="25"/>
        </w:rPr>
      </w:pPr>
      <w:r w:rsidRPr="00725053">
        <w:rPr>
          <w:sz w:val="25"/>
          <w:szCs w:val="25"/>
        </w:rPr>
        <w:t xml:space="preserve"> </w:t>
      </w:r>
    </w:p>
    <w:p w14:paraId="08A771DB" w14:textId="77777777" w:rsidR="00137387" w:rsidRPr="00725053" w:rsidRDefault="00D768E5" w:rsidP="00156721">
      <w:pPr>
        <w:jc w:val="both"/>
        <w:rPr>
          <w:i/>
          <w:iCs/>
          <w:sz w:val="25"/>
          <w:szCs w:val="25"/>
          <w:u w:val="single"/>
        </w:rPr>
      </w:pPr>
      <w:r w:rsidRPr="00725053">
        <w:rPr>
          <w:sz w:val="25"/>
          <w:szCs w:val="25"/>
        </w:rPr>
        <w:t xml:space="preserve">Якісні, кількісні та технічні характеристики </w:t>
      </w:r>
      <w:r w:rsidR="00137387" w:rsidRPr="00725053">
        <w:rPr>
          <w:i/>
          <w:iCs/>
          <w:sz w:val="25"/>
          <w:szCs w:val="25"/>
          <w:u w:val="single"/>
        </w:rPr>
        <w:t>Будівельні матеріали та комплектуючи вироби, конструкції та системи, що застосовуються  для виконання робіт, обладнання, що підлягає встановленню, повинні бути новими, тобто такими, що раніше не використовувалися і повністю відповідати вимогам щодо їх якості, а також, усім технічним вимогам/державним, та мати відповідні сертифікати, технічні паспорти та інші документи, що засвідчують їх якість та безпечність, якщо такі передбачені чинним законодавством України.</w:t>
      </w:r>
    </w:p>
    <w:p w14:paraId="2576A7B3" w14:textId="492D0C68" w:rsidR="00137387" w:rsidRPr="00725053" w:rsidRDefault="00137387" w:rsidP="00156721">
      <w:pPr>
        <w:jc w:val="both"/>
        <w:rPr>
          <w:i/>
          <w:iCs/>
          <w:sz w:val="25"/>
          <w:szCs w:val="25"/>
          <w:u w:val="single"/>
        </w:rPr>
      </w:pPr>
      <w:r w:rsidRPr="00725053">
        <w:rPr>
          <w:i/>
          <w:iCs/>
          <w:sz w:val="25"/>
          <w:szCs w:val="25"/>
          <w:u w:val="single"/>
        </w:rPr>
        <w:lastRenderedPageBreak/>
        <w:t>Технічні, якісні характеристики предмета закупівлі повинні передбачати необхідність застосування заходів  із  захисту довкілля.</w:t>
      </w:r>
    </w:p>
    <w:p w14:paraId="34AA8DCD" w14:textId="2A47F245" w:rsidR="00FF756E" w:rsidRPr="00725053" w:rsidRDefault="00FF756E" w:rsidP="00FF756E">
      <w:pPr>
        <w:jc w:val="both"/>
        <w:rPr>
          <w:i/>
          <w:iCs/>
          <w:sz w:val="25"/>
          <w:szCs w:val="25"/>
          <w:u w:val="single"/>
        </w:rPr>
      </w:pPr>
      <w:r w:rsidRPr="00725053">
        <w:rPr>
          <w:b/>
          <w:bCs/>
          <w:i/>
          <w:iCs/>
          <w:sz w:val="25"/>
          <w:szCs w:val="25"/>
          <w:u w:val="single"/>
        </w:rPr>
        <w:t xml:space="preserve"> Мета закупівлі:</w:t>
      </w:r>
      <w:r w:rsidRPr="00725053">
        <w:rPr>
          <w:i/>
          <w:iCs/>
          <w:sz w:val="25"/>
          <w:szCs w:val="25"/>
          <w:u w:val="single"/>
        </w:rPr>
        <w:t xml:space="preserve"> забезпечення енергонезалежності закладу охорони здоров’я (кластерної лікарні) для реалізації </w:t>
      </w:r>
      <w:proofErr w:type="spellStart"/>
      <w:r w:rsidRPr="00725053">
        <w:rPr>
          <w:i/>
          <w:iCs/>
          <w:sz w:val="25"/>
          <w:szCs w:val="25"/>
          <w:u w:val="single"/>
        </w:rPr>
        <w:t>проєкту</w:t>
      </w:r>
      <w:proofErr w:type="spellEnd"/>
      <w:r w:rsidRPr="00725053">
        <w:rPr>
          <w:i/>
          <w:iCs/>
          <w:sz w:val="25"/>
          <w:szCs w:val="25"/>
          <w:u w:val="single"/>
        </w:rPr>
        <w:t xml:space="preserve"> встановлення сонячної гібридної станції за </w:t>
      </w:r>
      <w:proofErr w:type="spellStart"/>
      <w:r w:rsidRPr="00725053">
        <w:rPr>
          <w:i/>
          <w:iCs/>
          <w:sz w:val="25"/>
          <w:szCs w:val="25"/>
          <w:u w:val="single"/>
        </w:rPr>
        <w:t>адресою</w:t>
      </w:r>
      <w:proofErr w:type="spellEnd"/>
      <w:r w:rsidRPr="00725053">
        <w:rPr>
          <w:i/>
          <w:iCs/>
          <w:sz w:val="25"/>
          <w:szCs w:val="25"/>
          <w:u w:val="single"/>
        </w:rPr>
        <w:t xml:space="preserve"> </w:t>
      </w:r>
      <w:proofErr w:type="spellStart"/>
      <w:r w:rsidRPr="00725053">
        <w:rPr>
          <w:i/>
          <w:iCs/>
          <w:sz w:val="25"/>
          <w:szCs w:val="25"/>
          <w:u w:val="single"/>
        </w:rPr>
        <w:t>м.Чернівці</w:t>
      </w:r>
      <w:proofErr w:type="spellEnd"/>
      <w:r w:rsidRPr="00725053">
        <w:rPr>
          <w:i/>
          <w:iCs/>
          <w:sz w:val="25"/>
          <w:szCs w:val="25"/>
          <w:u w:val="single"/>
        </w:rPr>
        <w:t xml:space="preserve">, </w:t>
      </w:r>
      <w:proofErr w:type="spellStart"/>
      <w:r w:rsidRPr="00725053">
        <w:rPr>
          <w:i/>
          <w:iCs/>
          <w:sz w:val="25"/>
          <w:szCs w:val="25"/>
          <w:u w:val="single"/>
        </w:rPr>
        <w:t>вул.Героїв</w:t>
      </w:r>
      <w:proofErr w:type="spellEnd"/>
      <w:r w:rsidRPr="00725053">
        <w:rPr>
          <w:i/>
          <w:iCs/>
          <w:sz w:val="25"/>
          <w:szCs w:val="25"/>
          <w:u w:val="single"/>
        </w:rPr>
        <w:t xml:space="preserve"> Майдану,226 в рамках фінансової підтримки Благодійної організації «БЛАГОДІЙНИЙ ФОНД «ЄЛОУБЛУ ФОРС Україна» за технічної підтримки ГО «</w:t>
      </w:r>
      <w:proofErr w:type="spellStart"/>
      <w:r w:rsidRPr="00725053">
        <w:rPr>
          <w:i/>
          <w:iCs/>
          <w:sz w:val="25"/>
          <w:szCs w:val="25"/>
          <w:u w:val="single"/>
        </w:rPr>
        <w:t>Екоклуб</w:t>
      </w:r>
      <w:proofErr w:type="spellEnd"/>
      <w:r w:rsidRPr="00725053">
        <w:rPr>
          <w:i/>
          <w:iCs/>
          <w:sz w:val="25"/>
          <w:szCs w:val="25"/>
          <w:u w:val="single"/>
        </w:rPr>
        <w:t xml:space="preserve">»  </w:t>
      </w:r>
      <w:proofErr w:type="spellStart"/>
      <w:r w:rsidRPr="00725053">
        <w:rPr>
          <w:i/>
          <w:iCs/>
          <w:sz w:val="25"/>
          <w:szCs w:val="25"/>
          <w:u w:val="single"/>
        </w:rPr>
        <w:t>виготовлєно</w:t>
      </w:r>
      <w:proofErr w:type="spellEnd"/>
      <w:r w:rsidRPr="00725053">
        <w:rPr>
          <w:i/>
          <w:iCs/>
          <w:sz w:val="25"/>
          <w:szCs w:val="25"/>
          <w:u w:val="single"/>
        </w:rPr>
        <w:t xml:space="preserve"> </w:t>
      </w:r>
      <w:proofErr w:type="spellStart"/>
      <w:r w:rsidRPr="00725053">
        <w:rPr>
          <w:i/>
          <w:iCs/>
          <w:sz w:val="25"/>
          <w:szCs w:val="25"/>
          <w:u w:val="single"/>
        </w:rPr>
        <w:t>проєктно</w:t>
      </w:r>
      <w:proofErr w:type="spellEnd"/>
      <w:r w:rsidRPr="00725053">
        <w:rPr>
          <w:i/>
          <w:iCs/>
          <w:sz w:val="25"/>
          <w:szCs w:val="25"/>
          <w:u w:val="single"/>
        </w:rPr>
        <w:t xml:space="preserve">-кошторисна документація «Реконструкція частини внутрішніх мереж електропостачання лікувального корпусу </w:t>
      </w:r>
      <w:proofErr w:type="spellStart"/>
      <w:r w:rsidRPr="00725053">
        <w:rPr>
          <w:i/>
          <w:iCs/>
          <w:sz w:val="25"/>
          <w:szCs w:val="25"/>
          <w:u w:val="single"/>
        </w:rPr>
        <w:t>літ."Г</w:t>
      </w:r>
      <w:proofErr w:type="spellEnd"/>
      <w:r w:rsidRPr="00725053">
        <w:rPr>
          <w:i/>
          <w:iCs/>
          <w:sz w:val="25"/>
          <w:szCs w:val="25"/>
          <w:u w:val="single"/>
        </w:rPr>
        <w:t xml:space="preserve">" КНП "Центральна міська клінічна лікарня" ЧМР» з метою влаштування дахової сонячної електростанції за </w:t>
      </w:r>
      <w:proofErr w:type="spellStart"/>
      <w:r w:rsidRPr="00725053">
        <w:rPr>
          <w:i/>
          <w:iCs/>
          <w:sz w:val="25"/>
          <w:szCs w:val="25"/>
          <w:u w:val="single"/>
        </w:rPr>
        <w:t>адресою</w:t>
      </w:r>
      <w:proofErr w:type="spellEnd"/>
      <w:r w:rsidRPr="00725053">
        <w:rPr>
          <w:i/>
          <w:iCs/>
          <w:sz w:val="25"/>
          <w:szCs w:val="25"/>
          <w:u w:val="single"/>
        </w:rPr>
        <w:t xml:space="preserve">  </w:t>
      </w:r>
      <w:proofErr w:type="spellStart"/>
      <w:r w:rsidRPr="00725053">
        <w:rPr>
          <w:i/>
          <w:iCs/>
          <w:sz w:val="25"/>
          <w:szCs w:val="25"/>
          <w:u w:val="single"/>
        </w:rPr>
        <w:t>м.Чернівці</w:t>
      </w:r>
      <w:proofErr w:type="spellEnd"/>
      <w:r w:rsidRPr="00725053">
        <w:rPr>
          <w:i/>
          <w:iCs/>
          <w:sz w:val="25"/>
          <w:szCs w:val="25"/>
          <w:u w:val="single"/>
        </w:rPr>
        <w:t xml:space="preserve">, </w:t>
      </w:r>
      <w:proofErr w:type="spellStart"/>
      <w:r w:rsidRPr="00725053">
        <w:rPr>
          <w:i/>
          <w:iCs/>
          <w:sz w:val="25"/>
          <w:szCs w:val="25"/>
          <w:u w:val="single"/>
        </w:rPr>
        <w:t>вул.Героїв</w:t>
      </w:r>
      <w:proofErr w:type="spellEnd"/>
      <w:r w:rsidRPr="00725053">
        <w:rPr>
          <w:i/>
          <w:iCs/>
          <w:sz w:val="25"/>
          <w:szCs w:val="25"/>
          <w:u w:val="single"/>
        </w:rPr>
        <w:t xml:space="preserve"> Майдану, 226 орієнтовної потужності до 50 кВт загальною кошторисною вартістю 2871,857 </w:t>
      </w:r>
      <w:proofErr w:type="spellStart"/>
      <w:r w:rsidRPr="00725053">
        <w:rPr>
          <w:i/>
          <w:iCs/>
          <w:sz w:val="25"/>
          <w:szCs w:val="25"/>
          <w:u w:val="single"/>
        </w:rPr>
        <w:t>тис.грн</w:t>
      </w:r>
      <w:proofErr w:type="spellEnd"/>
      <w:r w:rsidRPr="00725053">
        <w:rPr>
          <w:i/>
          <w:iCs/>
          <w:sz w:val="25"/>
          <w:szCs w:val="25"/>
          <w:u w:val="single"/>
        </w:rPr>
        <w:t xml:space="preserve">., в тому числі на виготовлення документації та експертиза </w:t>
      </w:r>
      <w:proofErr w:type="spellStart"/>
      <w:r w:rsidRPr="00725053">
        <w:rPr>
          <w:i/>
          <w:iCs/>
          <w:sz w:val="25"/>
          <w:szCs w:val="25"/>
          <w:u w:val="single"/>
        </w:rPr>
        <w:t>проєкту</w:t>
      </w:r>
      <w:proofErr w:type="spellEnd"/>
      <w:r w:rsidRPr="00725053">
        <w:rPr>
          <w:i/>
          <w:iCs/>
          <w:sz w:val="25"/>
          <w:szCs w:val="25"/>
          <w:u w:val="single"/>
        </w:rPr>
        <w:t xml:space="preserve"> 148,660тис.грн., які лікарня профінансувала за власний рахунок.</w:t>
      </w:r>
    </w:p>
    <w:p w14:paraId="0E0ECA6A" w14:textId="7B49F867" w:rsidR="00FF756E" w:rsidRPr="00725053" w:rsidRDefault="00BC753F" w:rsidP="00FF756E">
      <w:pPr>
        <w:jc w:val="both"/>
        <w:rPr>
          <w:i/>
          <w:iCs/>
          <w:sz w:val="25"/>
          <w:szCs w:val="25"/>
          <w:u w:val="single"/>
        </w:rPr>
      </w:pPr>
      <w:r w:rsidRPr="00725053">
        <w:rPr>
          <w:i/>
          <w:iCs/>
          <w:sz w:val="25"/>
          <w:szCs w:val="25"/>
          <w:u w:val="single"/>
        </w:rPr>
        <w:t xml:space="preserve">    </w:t>
      </w:r>
      <w:r w:rsidR="00FF756E" w:rsidRPr="00725053">
        <w:rPr>
          <w:i/>
          <w:iCs/>
          <w:sz w:val="25"/>
          <w:szCs w:val="25"/>
          <w:u w:val="single"/>
        </w:rPr>
        <w:t xml:space="preserve">Підписано угоду про співробітництво №28/10/25-2 від 28.10.2025 щодо реалізації спільного </w:t>
      </w:r>
      <w:proofErr w:type="spellStart"/>
      <w:r w:rsidR="00FF756E" w:rsidRPr="00725053">
        <w:rPr>
          <w:i/>
          <w:iCs/>
          <w:sz w:val="25"/>
          <w:szCs w:val="25"/>
          <w:u w:val="single"/>
        </w:rPr>
        <w:t>проєкту</w:t>
      </w:r>
      <w:proofErr w:type="spellEnd"/>
      <w:r w:rsidR="00FF756E" w:rsidRPr="00725053">
        <w:rPr>
          <w:i/>
          <w:iCs/>
          <w:sz w:val="25"/>
          <w:szCs w:val="25"/>
          <w:u w:val="single"/>
        </w:rPr>
        <w:t xml:space="preserve"> між Чернівецькою міською радою,  БО «БЛАГОДІЙНИЙ ФОНД «ЄЛОУБЛУ ФОРС Україна», КНП « Центральна міська клінічна лікарня» та ГО «</w:t>
      </w:r>
      <w:proofErr w:type="spellStart"/>
      <w:r w:rsidR="00FF756E" w:rsidRPr="00725053">
        <w:rPr>
          <w:i/>
          <w:iCs/>
          <w:sz w:val="25"/>
          <w:szCs w:val="25"/>
          <w:u w:val="single"/>
        </w:rPr>
        <w:t>Екоклуб</w:t>
      </w:r>
      <w:proofErr w:type="spellEnd"/>
      <w:r w:rsidR="00FF756E" w:rsidRPr="00725053">
        <w:rPr>
          <w:i/>
          <w:iCs/>
          <w:sz w:val="25"/>
          <w:szCs w:val="25"/>
          <w:u w:val="single"/>
        </w:rPr>
        <w:t>».</w:t>
      </w:r>
    </w:p>
    <w:p w14:paraId="68780F49" w14:textId="10F84D1E" w:rsidR="00FF756E" w:rsidRPr="00725053" w:rsidRDefault="00BC753F" w:rsidP="00FF756E">
      <w:pPr>
        <w:jc w:val="both"/>
        <w:rPr>
          <w:i/>
          <w:iCs/>
          <w:sz w:val="25"/>
          <w:szCs w:val="25"/>
          <w:u w:val="single"/>
        </w:rPr>
      </w:pPr>
      <w:r w:rsidRPr="00725053">
        <w:rPr>
          <w:i/>
          <w:iCs/>
          <w:sz w:val="25"/>
          <w:szCs w:val="25"/>
          <w:u w:val="single"/>
        </w:rPr>
        <w:t xml:space="preserve">       </w:t>
      </w:r>
      <w:r w:rsidR="00FF756E" w:rsidRPr="00725053">
        <w:rPr>
          <w:i/>
          <w:iCs/>
          <w:sz w:val="25"/>
          <w:szCs w:val="25"/>
          <w:u w:val="single"/>
        </w:rPr>
        <w:t xml:space="preserve">Відповідно до гарантійного листа БО «БЛАГОДІЙНИЙ ФОНД «ЄЛОУБЛУ ФОРС Україна» співфінансування лікарні має становити не більше 650,000тис.грн. на оплату робіт за об’єктним кошторисом №02-01 (1 пусковий комплекс) та технічний нагляд за виконанням робіт. </w:t>
      </w:r>
    </w:p>
    <w:p w14:paraId="6041D403" w14:textId="59028174" w:rsidR="00FF756E" w:rsidRPr="00725053" w:rsidRDefault="00BC753F" w:rsidP="00FF756E">
      <w:pPr>
        <w:jc w:val="both"/>
        <w:rPr>
          <w:i/>
          <w:iCs/>
          <w:sz w:val="25"/>
          <w:szCs w:val="25"/>
          <w:u w:val="single"/>
        </w:rPr>
      </w:pPr>
      <w:r w:rsidRPr="00725053">
        <w:rPr>
          <w:i/>
          <w:iCs/>
          <w:sz w:val="25"/>
          <w:szCs w:val="25"/>
          <w:u w:val="single"/>
        </w:rPr>
        <w:t xml:space="preserve">        С</w:t>
      </w:r>
      <w:r w:rsidR="00FF756E" w:rsidRPr="00725053">
        <w:rPr>
          <w:i/>
          <w:iCs/>
          <w:sz w:val="25"/>
          <w:szCs w:val="25"/>
          <w:u w:val="single"/>
        </w:rPr>
        <w:t xml:space="preserve">таном на 20.11.2025р. БО «БЛАГОДІЙНИЙ ФОНД «ЄЛОУБЛУ ФОРС Україна» (YBF) обрало переможця тендеру на реконструкцію частини внутрішніх мереж електропостачання лікувального корпусу літ. "Г" КНП "Центральна міська клінічна лікарня" Чернівецької міської ради з метою влаштування дахової сонячної електростанції за </w:t>
      </w:r>
      <w:proofErr w:type="spellStart"/>
      <w:r w:rsidR="00FF756E" w:rsidRPr="00725053">
        <w:rPr>
          <w:i/>
          <w:iCs/>
          <w:sz w:val="25"/>
          <w:szCs w:val="25"/>
          <w:u w:val="single"/>
        </w:rPr>
        <w:t>адресою</w:t>
      </w:r>
      <w:proofErr w:type="spellEnd"/>
      <w:r w:rsidR="00FF756E" w:rsidRPr="00725053">
        <w:rPr>
          <w:i/>
          <w:iCs/>
          <w:sz w:val="25"/>
          <w:szCs w:val="25"/>
          <w:u w:val="single"/>
        </w:rPr>
        <w:t xml:space="preserve"> м. Чернівці, вул. Героїв Майдану, 226 і ним є ТОВ "ЕКО ВОЛЬТ" (ЄДРПОУ 41173433) та переможця тендеру на технічний нагляд за виконанням робіт на об'єкті: «Реконструкція частини внутрішніх мереж електропостачання лікувального корпусу </w:t>
      </w:r>
      <w:proofErr w:type="spellStart"/>
      <w:r w:rsidR="00FF756E" w:rsidRPr="00725053">
        <w:rPr>
          <w:i/>
          <w:iCs/>
          <w:sz w:val="25"/>
          <w:szCs w:val="25"/>
          <w:u w:val="single"/>
        </w:rPr>
        <w:t>літ."Г</w:t>
      </w:r>
      <w:proofErr w:type="spellEnd"/>
      <w:r w:rsidR="00FF756E" w:rsidRPr="00725053">
        <w:rPr>
          <w:i/>
          <w:iCs/>
          <w:sz w:val="25"/>
          <w:szCs w:val="25"/>
          <w:u w:val="single"/>
        </w:rPr>
        <w:t xml:space="preserve">" КНП "Центральна міська клінічна лікарня" Чернівецької міської ради з метою влаштування дахової сонячної електростанції за </w:t>
      </w:r>
      <w:proofErr w:type="spellStart"/>
      <w:r w:rsidR="00FF756E" w:rsidRPr="00725053">
        <w:rPr>
          <w:i/>
          <w:iCs/>
          <w:sz w:val="25"/>
          <w:szCs w:val="25"/>
          <w:u w:val="single"/>
        </w:rPr>
        <w:t>адресою</w:t>
      </w:r>
      <w:proofErr w:type="spellEnd"/>
      <w:r w:rsidR="00FF756E" w:rsidRPr="00725053">
        <w:rPr>
          <w:i/>
          <w:iCs/>
          <w:sz w:val="25"/>
          <w:szCs w:val="25"/>
          <w:u w:val="single"/>
        </w:rPr>
        <w:t xml:space="preserve"> м. Чернівці, вул. Героїв Майдану, 226», ним є ТОВ "ІК ЗАХІД" (ЄДРПОУ 45709671).</w:t>
      </w:r>
    </w:p>
    <w:p w14:paraId="753B17DB" w14:textId="77777777" w:rsidR="00137387" w:rsidRPr="00725053" w:rsidRDefault="00137387" w:rsidP="00137387">
      <w:pPr>
        <w:jc w:val="both"/>
        <w:rPr>
          <w:sz w:val="25"/>
          <w:szCs w:val="25"/>
        </w:rPr>
      </w:pPr>
    </w:p>
    <w:p w14:paraId="551C2FCC" w14:textId="29C7AD0D" w:rsidR="00BE533F" w:rsidRPr="00725053" w:rsidRDefault="00BE533F" w:rsidP="00BE533F">
      <w:pPr>
        <w:pStyle w:val="a4"/>
        <w:jc w:val="both"/>
      </w:pPr>
      <w:r w:rsidRPr="00725053">
        <w:t xml:space="preserve">Робочим </w:t>
      </w:r>
      <w:proofErr w:type="spellStart"/>
      <w:r w:rsidRPr="00725053">
        <w:t>проєктом</w:t>
      </w:r>
      <w:proofErr w:type="spellEnd"/>
      <w:r w:rsidRPr="00725053">
        <w:t xml:space="preserve"> </w:t>
      </w:r>
      <w:r w:rsidR="003103EF" w:rsidRPr="00725053">
        <w:t xml:space="preserve">будівництва </w:t>
      </w:r>
      <w:r w:rsidRPr="00725053">
        <w:t xml:space="preserve">передбачено: </w:t>
      </w: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25053" w:rsidRPr="00725053" w14:paraId="135292C9" w14:textId="77777777" w:rsidTr="00BB5473">
        <w:trPr>
          <w:jc w:val="center"/>
        </w:trPr>
        <w:tc>
          <w:tcPr>
            <w:tcW w:w="567" w:type="dxa"/>
            <w:tcBorders>
              <w:top w:val="single" w:sz="12" w:space="0" w:color="auto"/>
              <w:left w:val="single" w:sz="12" w:space="0" w:color="auto"/>
              <w:bottom w:val="nil"/>
              <w:right w:val="single" w:sz="4" w:space="0" w:color="auto"/>
            </w:tcBorders>
            <w:vAlign w:val="center"/>
          </w:tcPr>
          <w:p w14:paraId="6A9B55E4" w14:textId="77777777" w:rsidR="00FF756E" w:rsidRPr="00725053" w:rsidRDefault="00FF756E" w:rsidP="00BB5473">
            <w:pPr>
              <w:keepLines/>
              <w:autoSpaceDE w:val="0"/>
              <w:autoSpaceDN w:val="0"/>
              <w:jc w:val="center"/>
              <w:rPr>
                <w:rFonts w:ascii="Arial" w:hAnsi="Arial" w:cs="Arial"/>
                <w:spacing w:val="-5"/>
                <w:sz w:val="20"/>
                <w:szCs w:val="20"/>
              </w:rPr>
            </w:pPr>
            <w:r w:rsidRPr="00725053">
              <w:rPr>
                <w:rFonts w:ascii="Arial" w:hAnsi="Arial" w:cs="Arial"/>
                <w:spacing w:val="-5"/>
                <w:sz w:val="20"/>
                <w:szCs w:val="20"/>
              </w:rPr>
              <w:t>№</w:t>
            </w:r>
          </w:p>
          <w:p w14:paraId="643AFF24"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t>Ч.ч</w:t>
            </w:r>
            <w:proofErr w:type="spellEnd"/>
            <w:r w:rsidRPr="00725053">
              <w:rPr>
                <w:rFonts w:ascii="Arial" w:hAnsi="Arial" w:cs="Arial"/>
                <w:spacing w:val="-5"/>
                <w:sz w:val="20"/>
                <w:szCs w:val="20"/>
              </w:rPr>
              <w:t>.</w:t>
            </w:r>
          </w:p>
        </w:tc>
        <w:tc>
          <w:tcPr>
            <w:tcW w:w="5387" w:type="dxa"/>
            <w:tcBorders>
              <w:top w:val="single" w:sz="12" w:space="0" w:color="auto"/>
              <w:left w:val="nil"/>
              <w:bottom w:val="nil"/>
              <w:right w:val="nil"/>
            </w:tcBorders>
            <w:vAlign w:val="center"/>
          </w:tcPr>
          <w:p w14:paraId="465AF6D2" w14:textId="77777777" w:rsidR="00FF756E" w:rsidRPr="00725053" w:rsidRDefault="00FF756E" w:rsidP="00BB5473">
            <w:pPr>
              <w:keepLines/>
              <w:autoSpaceDE w:val="0"/>
              <w:autoSpaceDN w:val="0"/>
              <w:jc w:val="center"/>
              <w:rPr>
                <w:rFonts w:ascii="Arial" w:hAnsi="Arial" w:cs="Arial"/>
                <w:spacing w:val="-5"/>
                <w:sz w:val="20"/>
                <w:szCs w:val="20"/>
              </w:rPr>
            </w:pPr>
          </w:p>
          <w:p w14:paraId="2ABBC1F6" w14:textId="77777777" w:rsidR="00FF756E" w:rsidRPr="00725053" w:rsidRDefault="00FF756E" w:rsidP="00BB5473">
            <w:pPr>
              <w:keepLines/>
              <w:autoSpaceDE w:val="0"/>
              <w:autoSpaceDN w:val="0"/>
              <w:jc w:val="center"/>
              <w:rPr>
                <w:rFonts w:ascii="Arial" w:hAnsi="Arial" w:cs="Arial"/>
                <w:spacing w:val="-5"/>
                <w:sz w:val="20"/>
                <w:szCs w:val="20"/>
              </w:rPr>
            </w:pPr>
            <w:r w:rsidRPr="00725053">
              <w:rPr>
                <w:rFonts w:ascii="Arial" w:hAnsi="Arial" w:cs="Arial"/>
                <w:spacing w:val="-5"/>
                <w:sz w:val="20"/>
                <w:szCs w:val="20"/>
              </w:rPr>
              <w:t>Найменування робіт і витрат</w:t>
            </w:r>
          </w:p>
          <w:p w14:paraId="000CD4E3" w14:textId="77777777" w:rsidR="00FF756E" w:rsidRPr="00725053" w:rsidRDefault="00FF756E" w:rsidP="00BB5473">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074FA5C4" w14:textId="77777777" w:rsidR="00FF756E" w:rsidRPr="00725053" w:rsidRDefault="00FF756E" w:rsidP="00BB5473">
            <w:pPr>
              <w:keepLines/>
              <w:autoSpaceDE w:val="0"/>
              <w:autoSpaceDN w:val="0"/>
              <w:jc w:val="center"/>
              <w:rPr>
                <w:rFonts w:ascii="Arial" w:hAnsi="Arial" w:cs="Arial"/>
                <w:spacing w:val="-5"/>
                <w:sz w:val="20"/>
                <w:szCs w:val="20"/>
              </w:rPr>
            </w:pPr>
            <w:r w:rsidRPr="00725053">
              <w:rPr>
                <w:rFonts w:ascii="Arial" w:hAnsi="Arial" w:cs="Arial"/>
                <w:spacing w:val="-5"/>
                <w:sz w:val="20"/>
                <w:szCs w:val="20"/>
              </w:rPr>
              <w:t>Одиниця</w:t>
            </w:r>
          </w:p>
          <w:p w14:paraId="1597048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5D94A81D"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2B0253B8"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Примітка</w:t>
            </w:r>
          </w:p>
        </w:tc>
      </w:tr>
      <w:tr w:rsidR="00725053" w:rsidRPr="00725053" w14:paraId="0FD6825B" w14:textId="77777777" w:rsidTr="00BB5473">
        <w:trPr>
          <w:jc w:val="center"/>
        </w:trPr>
        <w:tc>
          <w:tcPr>
            <w:tcW w:w="567" w:type="dxa"/>
            <w:tcBorders>
              <w:top w:val="single" w:sz="4" w:space="0" w:color="auto"/>
              <w:left w:val="single" w:sz="12" w:space="0" w:color="auto"/>
              <w:bottom w:val="single" w:sz="4" w:space="0" w:color="auto"/>
              <w:right w:val="single" w:sz="4" w:space="0" w:color="auto"/>
            </w:tcBorders>
            <w:vAlign w:val="center"/>
          </w:tcPr>
          <w:p w14:paraId="61D5F3C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5387" w:type="dxa"/>
            <w:tcBorders>
              <w:top w:val="single" w:sz="4" w:space="0" w:color="auto"/>
              <w:left w:val="nil"/>
              <w:bottom w:val="single" w:sz="4" w:space="0" w:color="auto"/>
              <w:right w:val="nil"/>
            </w:tcBorders>
            <w:vAlign w:val="center"/>
          </w:tcPr>
          <w:p w14:paraId="67F6BD9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7FD41395"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06003125"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506A0F37"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5</w:t>
            </w:r>
          </w:p>
        </w:tc>
      </w:tr>
      <w:tr w:rsidR="00725053" w:rsidRPr="00725053" w14:paraId="2B82654D" w14:textId="77777777" w:rsidTr="00BB5473">
        <w:trPr>
          <w:jc w:val="center"/>
        </w:trPr>
        <w:tc>
          <w:tcPr>
            <w:tcW w:w="567" w:type="dxa"/>
            <w:tcBorders>
              <w:top w:val="nil"/>
              <w:left w:val="single" w:sz="12" w:space="0" w:color="auto"/>
              <w:bottom w:val="nil"/>
              <w:right w:val="single" w:sz="4" w:space="0" w:color="auto"/>
            </w:tcBorders>
          </w:tcPr>
          <w:p w14:paraId="33539A93"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5387" w:type="dxa"/>
            <w:tcBorders>
              <w:top w:val="nil"/>
              <w:left w:val="nil"/>
              <w:bottom w:val="nil"/>
              <w:right w:val="nil"/>
            </w:tcBorders>
          </w:tcPr>
          <w:p w14:paraId="295DD81D"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 xml:space="preserve">Фотоелектричний модуль потужністю 620 Вт </w:t>
            </w:r>
            <w:proofErr w:type="spellStart"/>
            <w:r w:rsidRPr="00725053">
              <w:rPr>
                <w:rFonts w:ascii="Arial" w:hAnsi="Arial" w:cs="Arial"/>
                <w:spacing w:val="-5"/>
                <w:sz w:val="20"/>
                <w:szCs w:val="20"/>
              </w:rPr>
              <w:t>Lоngі</w:t>
            </w:r>
            <w:proofErr w:type="spellEnd"/>
            <w:r w:rsidRPr="00725053">
              <w:rPr>
                <w:rFonts w:ascii="Arial" w:hAnsi="Arial" w:cs="Arial"/>
                <w:spacing w:val="-5"/>
                <w:sz w:val="20"/>
                <w:szCs w:val="20"/>
              </w:rPr>
              <w:t xml:space="preserve"> </w:t>
            </w:r>
            <w:proofErr w:type="spellStart"/>
            <w:r w:rsidRPr="00725053">
              <w:rPr>
                <w:rFonts w:ascii="Arial" w:hAnsi="Arial" w:cs="Arial"/>
                <w:spacing w:val="-5"/>
                <w:sz w:val="20"/>
                <w:szCs w:val="20"/>
              </w:rPr>
              <w:t>Sоlаr</w:t>
            </w:r>
            <w:proofErr w:type="spellEnd"/>
          </w:p>
        </w:tc>
        <w:tc>
          <w:tcPr>
            <w:tcW w:w="1418" w:type="dxa"/>
            <w:tcBorders>
              <w:top w:val="nil"/>
              <w:left w:val="single" w:sz="4" w:space="0" w:color="auto"/>
              <w:bottom w:val="nil"/>
              <w:right w:val="nil"/>
            </w:tcBorders>
          </w:tcPr>
          <w:p w14:paraId="10389ACB"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697117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12</w:t>
            </w:r>
          </w:p>
        </w:tc>
        <w:tc>
          <w:tcPr>
            <w:tcW w:w="1418" w:type="dxa"/>
            <w:tcBorders>
              <w:top w:val="nil"/>
              <w:left w:val="single" w:sz="4" w:space="0" w:color="auto"/>
              <w:bottom w:val="nil"/>
              <w:right w:val="single" w:sz="12" w:space="0" w:color="auto"/>
            </w:tcBorders>
          </w:tcPr>
          <w:p w14:paraId="4C8528FE"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167C62AB" w14:textId="77777777" w:rsidTr="00BB5473">
        <w:trPr>
          <w:jc w:val="center"/>
        </w:trPr>
        <w:tc>
          <w:tcPr>
            <w:tcW w:w="567" w:type="dxa"/>
            <w:tcBorders>
              <w:top w:val="nil"/>
              <w:left w:val="single" w:sz="12" w:space="0" w:color="auto"/>
              <w:bottom w:val="nil"/>
              <w:right w:val="single" w:sz="4" w:space="0" w:color="auto"/>
            </w:tcBorders>
          </w:tcPr>
          <w:p w14:paraId="44750A5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w:t>
            </w:r>
          </w:p>
        </w:tc>
        <w:tc>
          <w:tcPr>
            <w:tcW w:w="5387" w:type="dxa"/>
            <w:tcBorders>
              <w:top w:val="nil"/>
              <w:left w:val="nil"/>
              <w:bottom w:val="nil"/>
              <w:right w:val="nil"/>
            </w:tcBorders>
          </w:tcPr>
          <w:p w14:paraId="5919D357"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4ECD8B7E"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3E6D4747"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0,78</w:t>
            </w:r>
          </w:p>
        </w:tc>
        <w:tc>
          <w:tcPr>
            <w:tcW w:w="1418" w:type="dxa"/>
            <w:tcBorders>
              <w:top w:val="nil"/>
              <w:left w:val="single" w:sz="4" w:space="0" w:color="auto"/>
              <w:bottom w:val="nil"/>
              <w:right w:val="single" w:sz="12" w:space="0" w:color="auto"/>
            </w:tcBorders>
          </w:tcPr>
          <w:p w14:paraId="015434DB"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0AE4C80A" w14:textId="77777777" w:rsidTr="00BB5473">
        <w:trPr>
          <w:jc w:val="center"/>
        </w:trPr>
        <w:tc>
          <w:tcPr>
            <w:tcW w:w="567" w:type="dxa"/>
            <w:tcBorders>
              <w:top w:val="nil"/>
              <w:left w:val="single" w:sz="12" w:space="0" w:color="auto"/>
              <w:bottom w:val="nil"/>
              <w:right w:val="single" w:sz="4" w:space="0" w:color="auto"/>
            </w:tcBorders>
          </w:tcPr>
          <w:p w14:paraId="3CE1FAF0"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3</w:t>
            </w:r>
          </w:p>
        </w:tc>
        <w:tc>
          <w:tcPr>
            <w:tcW w:w="5387" w:type="dxa"/>
            <w:tcBorders>
              <w:top w:val="nil"/>
              <w:left w:val="nil"/>
              <w:bottom w:val="nil"/>
              <w:right w:val="nil"/>
            </w:tcBorders>
          </w:tcPr>
          <w:p w14:paraId="44648CBC"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Модуль контролю (входить до комплекту з інвертором)</w:t>
            </w:r>
          </w:p>
        </w:tc>
        <w:tc>
          <w:tcPr>
            <w:tcW w:w="1418" w:type="dxa"/>
            <w:tcBorders>
              <w:top w:val="nil"/>
              <w:left w:val="single" w:sz="4" w:space="0" w:color="auto"/>
              <w:bottom w:val="nil"/>
              <w:right w:val="nil"/>
            </w:tcBorders>
          </w:tcPr>
          <w:p w14:paraId="6077EBA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w:t>
            </w:r>
            <w:proofErr w:type="spellStart"/>
            <w:r w:rsidRPr="0072505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39839F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1F47978"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5DBAD803" w14:textId="77777777" w:rsidTr="00BB5473">
        <w:trPr>
          <w:jc w:val="center"/>
        </w:trPr>
        <w:tc>
          <w:tcPr>
            <w:tcW w:w="567" w:type="dxa"/>
            <w:tcBorders>
              <w:top w:val="nil"/>
              <w:left w:val="single" w:sz="12" w:space="0" w:color="auto"/>
              <w:bottom w:val="nil"/>
              <w:right w:val="single" w:sz="4" w:space="0" w:color="auto"/>
            </w:tcBorders>
          </w:tcPr>
          <w:p w14:paraId="05DADA23"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4</w:t>
            </w:r>
          </w:p>
        </w:tc>
        <w:tc>
          <w:tcPr>
            <w:tcW w:w="5387" w:type="dxa"/>
            <w:tcBorders>
              <w:top w:val="nil"/>
              <w:left w:val="nil"/>
              <w:bottom w:val="nil"/>
              <w:right w:val="nil"/>
            </w:tcBorders>
          </w:tcPr>
          <w:p w14:paraId="37EF3487"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 xml:space="preserve">Перетворювач статичний </w:t>
            </w:r>
            <w:proofErr w:type="spellStart"/>
            <w:r w:rsidRPr="00725053">
              <w:rPr>
                <w:rFonts w:ascii="Arial" w:hAnsi="Arial" w:cs="Arial"/>
                <w:spacing w:val="-5"/>
                <w:sz w:val="20"/>
                <w:szCs w:val="20"/>
              </w:rPr>
              <w:t>діодний</w:t>
            </w:r>
            <w:proofErr w:type="spellEnd"/>
            <w:r w:rsidRPr="00725053">
              <w:rPr>
                <w:rFonts w:ascii="Arial" w:hAnsi="Arial" w:cs="Arial"/>
                <w:spacing w:val="-5"/>
                <w:sz w:val="20"/>
                <w:szCs w:val="20"/>
              </w:rPr>
              <w:t xml:space="preserve"> силою струму до 100 А</w:t>
            </w:r>
          </w:p>
        </w:tc>
        <w:tc>
          <w:tcPr>
            <w:tcW w:w="1418" w:type="dxa"/>
            <w:tcBorders>
              <w:top w:val="nil"/>
              <w:left w:val="single" w:sz="4" w:space="0" w:color="auto"/>
              <w:bottom w:val="nil"/>
              <w:right w:val="nil"/>
            </w:tcBorders>
          </w:tcPr>
          <w:p w14:paraId="6EBEE147"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BD55083"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317E84D6"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3F972644" w14:textId="77777777" w:rsidTr="00BB5473">
        <w:trPr>
          <w:jc w:val="center"/>
        </w:trPr>
        <w:tc>
          <w:tcPr>
            <w:tcW w:w="567" w:type="dxa"/>
            <w:tcBorders>
              <w:top w:val="nil"/>
              <w:left w:val="single" w:sz="12" w:space="0" w:color="auto"/>
              <w:bottom w:val="nil"/>
              <w:right w:val="single" w:sz="4" w:space="0" w:color="auto"/>
            </w:tcBorders>
          </w:tcPr>
          <w:p w14:paraId="63FDD5D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5</w:t>
            </w:r>
          </w:p>
        </w:tc>
        <w:tc>
          <w:tcPr>
            <w:tcW w:w="5387" w:type="dxa"/>
            <w:tcBorders>
              <w:top w:val="nil"/>
              <w:left w:val="nil"/>
              <w:bottom w:val="nil"/>
              <w:right w:val="nil"/>
            </w:tcBorders>
          </w:tcPr>
          <w:p w14:paraId="1C0252E8"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Кабель до 35 кВ, що прокладається з кріпленням</w:t>
            </w:r>
          </w:p>
          <w:p w14:paraId="20335D08"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накладними скобами, маса 1 м до 0,5 кг</w:t>
            </w:r>
          </w:p>
        </w:tc>
        <w:tc>
          <w:tcPr>
            <w:tcW w:w="1418" w:type="dxa"/>
            <w:tcBorders>
              <w:top w:val="nil"/>
              <w:left w:val="single" w:sz="4" w:space="0" w:color="auto"/>
              <w:bottom w:val="nil"/>
              <w:right w:val="nil"/>
            </w:tcBorders>
          </w:tcPr>
          <w:p w14:paraId="6D84D21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1B7BF86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230</w:t>
            </w:r>
          </w:p>
        </w:tc>
        <w:tc>
          <w:tcPr>
            <w:tcW w:w="1418" w:type="dxa"/>
            <w:tcBorders>
              <w:top w:val="nil"/>
              <w:left w:val="single" w:sz="4" w:space="0" w:color="auto"/>
              <w:bottom w:val="nil"/>
              <w:right w:val="single" w:sz="12" w:space="0" w:color="auto"/>
            </w:tcBorders>
          </w:tcPr>
          <w:p w14:paraId="7DF51E45"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68F41FAC" w14:textId="77777777" w:rsidTr="00BB5473">
        <w:trPr>
          <w:jc w:val="center"/>
        </w:trPr>
        <w:tc>
          <w:tcPr>
            <w:tcW w:w="567" w:type="dxa"/>
            <w:tcBorders>
              <w:top w:val="nil"/>
              <w:left w:val="single" w:sz="12" w:space="0" w:color="auto"/>
              <w:bottom w:val="nil"/>
              <w:right w:val="single" w:sz="4" w:space="0" w:color="auto"/>
            </w:tcBorders>
          </w:tcPr>
          <w:p w14:paraId="24A3D971"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6</w:t>
            </w:r>
          </w:p>
        </w:tc>
        <w:tc>
          <w:tcPr>
            <w:tcW w:w="5387" w:type="dxa"/>
            <w:tcBorders>
              <w:top w:val="nil"/>
              <w:left w:val="nil"/>
              <w:bottom w:val="nil"/>
              <w:right w:val="nil"/>
            </w:tcBorders>
          </w:tcPr>
          <w:p w14:paraId="3CD99C9E"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Прокладання ізольованих проводів перерізом до 35 мм2</w:t>
            </w:r>
          </w:p>
          <w:p w14:paraId="035A27B4"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у коробах</w:t>
            </w:r>
          </w:p>
        </w:tc>
        <w:tc>
          <w:tcPr>
            <w:tcW w:w="1418" w:type="dxa"/>
            <w:tcBorders>
              <w:top w:val="nil"/>
              <w:left w:val="single" w:sz="4" w:space="0" w:color="auto"/>
              <w:bottom w:val="nil"/>
              <w:right w:val="nil"/>
            </w:tcBorders>
          </w:tcPr>
          <w:p w14:paraId="34B1D0C0"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4A21D9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7A56A490"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044657B6" w14:textId="77777777" w:rsidTr="00BB5473">
        <w:trPr>
          <w:jc w:val="center"/>
        </w:trPr>
        <w:tc>
          <w:tcPr>
            <w:tcW w:w="567" w:type="dxa"/>
            <w:tcBorders>
              <w:top w:val="nil"/>
              <w:left w:val="single" w:sz="12" w:space="0" w:color="auto"/>
              <w:bottom w:val="nil"/>
              <w:right w:val="single" w:sz="4" w:space="0" w:color="auto"/>
            </w:tcBorders>
          </w:tcPr>
          <w:p w14:paraId="786FF0F5"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7</w:t>
            </w:r>
          </w:p>
        </w:tc>
        <w:tc>
          <w:tcPr>
            <w:tcW w:w="5387" w:type="dxa"/>
            <w:tcBorders>
              <w:top w:val="nil"/>
              <w:left w:val="nil"/>
              <w:bottom w:val="nil"/>
              <w:right w:val="nil"/>
            </w:tcBorders>
          </w:tcPr>
          <w:p w14:paraId="797BE149"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Прокладання лотків</w:t>
            </w:r>
          </w:p>
        </w:tc>
        <w:tc>
          <w:tcPr>
            <w:tcW w:w="1418" w:type="dxa"/>
            <w:tcBorders>
              <w:top w:val="nil"/>
              <w:left w:val="single" w:sz="4" w:space="0" w:color="auto"/>
              <w:bottom w:val="nil"/>
              <w:right w:val="nil"/>
            </w:tcBorders>
          </w:tcPr>
          <w:p w14:paraId="207E9825"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39F8933"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80</w:t>
            </w:r>
          </w:p>
        </w:tc>
        <w:tc>
          <w:tcPr>
            <w:tcW w:w="1418" w:type="dxa"/>
            <w:tcBorders>
              <w:top w:val="nil"/>
              <w:left w:val="single" w:sz="4" w:space="0" w:color="auto"/>
              <w:bottom w:val="nil"/>
              <w:right w:val="single" w:sz="12" w:space="0" w:color="auto"/>
            </w:tcBorders>
          </w:tcPr>
          <w:p w14:paraId="0A5F477E"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76E8DCE2" w14:textId="77777777" w:rsidTr="00BB5473">
        <w:trPr>
          <w:jc w:val="center"/>
        </w:trPr>
        <w:tc>
          <w:tcPr>
            <w:tcW w:w="567" w:type="dxa"/>
            <w:tcBorders>
              <w:top w:val="nil"/>
              <w:left w:val="single" w:sz="12" w:space="0" w:color="auto"/>
              <w:bottom w:val="nil"/>
              <w:right w:val="single" w:sz="4" w:space="0" w:color="auto"/>
            </w:tcBorders>
          </w:tcPr>
          <w:p w14:paraId="199F97AB"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8</w:t>
            </w:r>
          </w:p>
        </w:tc>
        <w:tc>
          <w:tcPr>
            <w:tcW w:w="5387" w:type="dxa"/>
            <w:tcBorders>
              <w:top w:val="nil"/>
              <w:left w:val="nil"/>
              <w:bottom w:val="nil"/>
              <w:right w:val="nil"/>
            </w:tcBorders>
          </w:tcPr>
          <w:p w14:paraId="1A8A3797"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Монтаж дрібних металоконструкцій вагою до 0,1 т</w:t>
            </w:r>
          </w:p>
        </w:tc>
        <w:tc>
          <w:tcPr>
            <w:tcW w:w="1418" w:type="dxa"/>
            <w:tcBorders>
              <w:top w:val="nil"/>
              <w:left w:val="single" w:sz="4" w:space="0" w:color="auto"/>
              <w:bottom w:val="nil"/>
              <w:right w:val="nil"/>
            </w:tcBorders>
          </w:tcPr>
          <w:p w14:paraId="438365B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22E2BAE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0,2</w:t>
            </w:r>
          </w:p>
        </w:tc>
        <w:tc>
          <w:tcPr>
            <w:tcW w:w="1418" w:type="dxa"/>
            <w:tcBorders>
              <w:top w:val="nil"/>
              <w:left w:val="single" w:sz="4" w:space="0" w:color="auto"/>
              <w:bottom w:val="nil"/>
              <w:right w:val="single" w:sz="12" w:space="0" w:color="auto"/>
            </w:tcBorders>
          </w:tcPr>
          <w:p w14:paraId="6F2844EB"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227C759B" w14:textId="77777777" w:rsidTr="00BB5473">
        <w:trPr>
          <w:jc w:val="center"/>
        </w:trPr>
        <w:tc>
          <w:tcPr>
            <w:tcW w:w="567" w:type="dxa"/>
            <w:tcBorders>
              <w:top w:val="nil"/>
              <w:left w:val="single" w:sz="12" w:space="0" w:color="auto"/>
              <w:bottom w:val="nil"/>
              <w:right w:val="single" w:sz="4" w:space="0" w:color="auto"/>
            </w:tcBorders>
          </w:tcPr>
          <w:p w14:paraId="5E6ED17F"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9</w:t>
            </w:r>
          </w:p>
        </w:tc>
        <w:tc>
          <w:tcPr>
            <w:tcW w:w="5387" w:type="dxa"/>
            <w:tcBorders>
              <w:top w:val="nil"/>
              <w:left w:val="nil"/>
              <w:bottom w:val="nil"/>
              <w:right w:val="nil"/>
            </w:tcBorders>
          </w:tcPr>
          <w:p w14:paraId="5C67D7AA"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 xml:space="preserve">Монтаж </w:t>
            </w:r>
            <w:proofErr w:type="spellStart"/>
            <w:r w:rsidRPr="00725053">
              <w:rPr>
                <w:rFonts w:ascii="Arial" w:hAnsi="Arial" w:cs="Arial"/>
                <w:spacing w:val="-5"/>
                <w:sz w:val="20"/>
                <w:szCs w:val="20"/>
              </w:rPr>
              <w:t>ввідно</w:t>
            </w:r>
            <w:proofErr w:type="spellEnd"/>
            <w:r w:rsidRPr="00725053">
              <w:rPr>
                <w:rFonts w:ascii="Arial" w:hAnsi="Arial" w:cs="Arial"/>
                <w:spacing w:val="-5"/>
                <w:sz w:val="20"/>
                <w:szCs w:val="20"/>
              </w:rPr>
              <w:t>-розподільних пристроїв</w:t>
            </w:r>
          </w:p>
        </w:tc>
        <w:tc>
          <w:tcPr>
            <w:tcW w:w="1418" w:type="dxa"/>
            <w:tcBorders>
              <w:top w:val="nil"/>
              <w:left w:val="single" w:sz="4" w:space="0" w:color="auto"/>
              <w:bottom w:val="nil"/>
              <w:right w:val="nil"/>
            </w:tcBorders>
          </w:tcPr>
          <w:p w14:paraId="16C98F7E"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14:paraId="4D929C7B"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0C89EE02"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2A62DD8E" w14:textId="77777777" w:rsidTr="00BB5473">
        <w:trPr>
          <w:jc w:val="center"/>
        </w:trPr>
        <w:tc>
          <w:tcPr>
            <w:tcW w:w="567" w:type="dxa"/>
            <w:tcBorders>
              <w:top w:val="nil"/>
              <w:left w:val="single" w:sz="12" w:space="0" w:color="auto"/>
              <w:bottom w:val="nil"/>
              <w:right w:val="single" w:sz="4" w:space="0" w:color="auto"/>
            </w:tcBorders>
          </w:tcPr>
          <w:p w14:paraId="1BB87B9A"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10</w:t>
            </w:r>
          </w:p>
        </w:tc>
        <w:tc>
          <w:tcPr>
            <w:tcW w:w="5387" w:type="dxa"/>
            <w:tcBorders>
              <w:top w:val="nil"/>
              <w:left w:val="nil"/>
              <w:bottom w:val="nil"/>
              <w:right w:val="nil"/>
            </w:tcBorders>
          </w:tcPr>
          <w:p w14:paraId="0F6A7094"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Монтаж обмежувача перенапруги, напруга до 220 кВ</w:t>
            </w:r>
          </w:p>
        </w:tc>
        <w:tc>
          <w:tcPr>
            <w:tcW w:w="1418" w:type="dxa"/>
            <w:tcBorders>
              <w:top w:val="nil"/>
              <w:left w:val="single" w:sz="4" w:space="0" w:color="auto"/>
              <w:bottom w:val="nil"/>
              <w:right w:val="nil"/>
            </w:tcBorders>
          </w:tcPr>
          <w:p w14:paraId="016DA8FF"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14:paraId="66F9003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79897BE4"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7064A019" w14:textId="77777777" w:rsidTr="00BB5473">
        <w:trPr>
          <w:jc w:val="center"/>
        </w:trPr>
        <w:tc>
          <w:tcPr>
            <w:tcW w:w="567" w:type="dxa"/>
            <w:tcBorders>
              <w:top w:val="nil"/>
              <w:left w:val="single" w:sz="12" w:space="0" w:color="auto"/>
              <w:bottom w:val="nil"/>
              <w:right w:val="single" w:sz="4" w:space="0" w:color="auto"/>
            </w:tcBorders>
          </w:tcPr>
          <w:p w14:paraId="2DDA50A7"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11</w:t>
            </w:r>
          </w:p>
        </w:tc>
        <w:tc>
          <w:tcPr>
            <w:tcW w:w="5387" w:type="dxa"/>
            <w:tcBorders>
              <w:top w:val="nil"/>
              <w:left w:val="nil"/>
              <w:bottom w:val="nil"/>
              <w:right w:val="nil"/>
            </w:tcBorders>
          </w:tcPr>
          <w:p w14:paraId="2B54D5C2"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Монтаж запобіжника напругою 35 кВ</w:t>
            </w:r>
          </w:p>
        </w:tc>
        <w:tc>
          <w:tcPr>
            <w:tcW w:w="1418" w:type="dxa"/>
            <w:tcBorders>
              <w:top w:val="nil"/>
              <w:left w:val="single" w:sz="4" w:space="0" w:color="auto"/>
              <w:bottom w:val="nil"/>
              <w:right w:val="nil"/>
            </w:tcBorders>
          </w:tcPr>
          <w:p w14:paraId="70994B11"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3E1B1FA"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4475A5C0"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59FB0E55" w14:textId="77777777" w:rsidTr="00BB5473">
        <w:trPr>
          <w:jc w:val="center"/>
        </w:trPr>
        <w:tc>
          <w:tcPr>
            <w:tcW w:w="567" w:type="dxa"/>
            <w:tcBorders>
              <w:top w:val="nil"/>
              <w:left w:val="single" w:sz="12" w:space="0" w:color="auto"/>
              <w:bottom w:val="nil"/>
              <w:right w:val="single" w:sz="4" w:space="0" w:color="auto"/>
            </w:tcBorders>
          </w:tcPr>
          <w:p w14:paraId="5F5EC7C1"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12</w:t>
            </w:r>
          </w:p>
        </w:tc>
        <w:tc>
          <w:tcPr>
            <w:tcW w:w="5387" w:type="dxa"/>
            <w:tcBorders>
              <w:top w:val="nil"/>
              <w:left w:val="nil"/>
              <w:bottom w:val="nil"/>
              <w:right w:val="nil"/>
            </w:tcBorders>
          </w:tcPr>
          <w:p w14:paraId="52222DE0"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 xml:space="preserve">Монтаж </w:t>
            </w:r>
            <w:proofErr w:type="spellStart"/>
            <w:r w:rsidRPr="00725053">
              <w:rPr>
                <w:rFonts w:ascii="Arial" w:hAnsi="Arial" w:cs="Arial"/>
                <w:spacing w:val="-5"/>
                <w:sz w:val="20"/>
                <w:szCs w:val="20"/>
              </w:rPr>
              <w:t>ввідно</w:t>
            </w:r>
            <w:proofErr w:type="spellEnd"/>
            <w:r w:rsidRPr="00725053">
              <w:rPr>
                <w:rFonts w:ascii="Arial" w:hAnsi="Arial" w:cs="Arial"/>
                <w:spacing w:val="-5"/>
                <w:sz w:val="20"/>
                <w:szCs w:val="20"/>
              </w:rPr>
              <w:t>-розподільних пристроїв</w:t>
            </w:r>
          </w:p>
        </w:tc>
        <w:tc>
          <w:tcPr>
            <w:tcW w:w="1418" w:type="dxa"/>
            <w:tcBorders>
              <w:top w:val="nil"/>
              <w:left w:val="single" w:sz="4" w:space="0" w:color="auto"/>
              <w:bottom w:val="nil"/>
              <w:right w:val="nil"/>
            </w:tcBorders>
          </w:tcPr>
          <w:p w14:paraId="0446C06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шафа</w:t>
            </w:r>
          </w:p>
        </w:tc>
        <w:tc>
          <w:tcPr>
            <w:tcW w:w="1418" w:type="dxa"/>
            <w:tcBorders>
              <w:top w:val="nil"/>
              <w:left w:val="single" w:sz="4" w:space="0" w:color="auto"/>
              <w:bottom w:val="nil"/>
              <w:right w:val="single" w:sz="4" w:space="0" w:color="auto"/>
            </w:tcBorders>
          </w:tcPr>
          <w:p w14:paraId="294FAA40"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70431EA2"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476BFF3C" w14:textId="77777777" w:rsidTr="00BB5473">
        <w:trPr>
          <w:jc w:val="center"/>
        </w:trPr>
        <w:tc>
          <w:tcPr>
            <w:tcW w:w="567" w:type="dxa"/>
            <w:tcBorders>
              <w:top w:val="nil"/>
              <w:left w:val="single" w:sz="12" w:space="0" w:color="auto"/>
              <w:bottom w:val="nil"/>
              <w:right w:val="single" w:sz="4" w:space="0" w:color="auto"/>
            </w:tcBorders>
          </w:tcPr>
          <w:p w14:paraId="0F61B8D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13</w:t>
            </w:r>
          </w:p>
        </w:tc>
        <w:tc>
          <w:tcPr>
            <w:tcW w:w="5387" w:type="dxa"/>
            <w:tcBorders>
              <w:top w:val="nil"/>
              <w:left w:val="nil"/>
              <w:bottom w:val="nil"/>
              <w:right w:val="nil"/>
            </w:tcBorders>
          </w:tcPr>
          <w:p w14:paraId="32FD8B91"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Установлення вимикачів, перемикачів пакетних 2-х і 3-х</w:t>
            </w:r>
          </w:p>
          <w:p w14:paraId="43E003A1"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полюсних на струм до 100 А</w:t>
            </w:r>
          </w:p>
        </w:tc>
        <w:tc>
          <w:tcPr>
            <w:tcW w:w="1418" w:type="dxa"/>
            <w:tcBorders>
              <w:top w:val="nil"/>
              <w:left w:val="single" w:sz="4" w:space="0" w:color="auto"/>
              <w:bottom w:val="nil"/>
              <w:right w:val="nil"/>
            </w:tcBorders>
          </w:tcPr>
          <w:p w14:paraId="03F81C0C"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58A2B1"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43665231"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5EB57CDC" w14:textId="77777777" w:rsidTr="00BB5473">
        <w:trPr>
          <w:jc w:val="center"/>
        </w:trPr>
        <w:tc>
          <w:tcPr>
            <w:tcW w:w="567" w:type="dxa"/>
            <w:tcBorders>
              <w:top w:val="nil"/>
              <w:left w:val="single" w:sz="12" w:space="0" w:color="auto"/>
              <w:bottom w:val="nil"/>
              <w:right w:val="single" w:sz="4" w:space="0" w:color="auto"/>
            </w:tcBorders>
          </w:tcPr>
          <w:p w14:paraId="152B8E0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14</w:t>
            </w:r>
          </w:p>
        </w:tc>
        <w:tc>
          <w:tcPr>
            <w:tcW w:w="5387" w:type="dxa"/>
            <w:tcBorders>
              <w:top w:val="nil"/>
              <w:left w:val="nil"/>
              <w:bottom w:val="nil"/>
              <w:right w:val="nil"/>
            </w:tcBorders>
          </w:tcPr>
          <w:p w14:paraId="42F50F64"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 xml:space="preserve">Блок керування </w:t>
            </w:r>
            <w:proofErr w:type="spellStart"/>
            <w:r w:rsidRPr="00725053">
              <w:rPr>
                <w:rFonts w:ascii="Arial" w:hAnsi="Arial" w:cs="Arial"/>
                <w:spacing w:val="-5"/>
                <w:sz w:val="20"/>
                <w:szCs w:val="20"/>
              </w:rPr>
              <w:t>шафного</w:t>
            </w:r>
            <w:proofErr w:type="spellEnd"/>
            <w:r w:rsidRPr="00725053">
              <w:rPr>
                <w:rFonts w:ascii="Arial" w:hAnsi="Arial" w:cs="Arial"/>
                <w:spacing w:val="-5"/>
                <w:sz w:val="20"/>
                <w:szCs w:val="20"/>
              </w:rPr>
              <w:t xml:space="preserve"> виконання або розподільний</w:t>
            </w:r>
          </w:p>
          <w:p w14:paraId="4E5C4F89"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пункт [шафа], що установлюється у ніші, висота і</w:t>
            </w:r>
          </w:p>
          <w:p w14:paraId="46641D4D"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ширина до 700х850 мм</w:t>
            </w:r>
          </w:p>
        </w:tc>
        <w:tc>
          <w:tcPr>
            <w:tcW w:w="1418" w:type="dxa"/>
            <w:tcBorders>
              <w:top w:val="nil"/>
              <w:left w:val="single" w:sz="4" w:space="0" w:color="auto"/>
              <w:bottom w:val="nil"/>
              <w:right w:val="nil"/>
            </w:tcBorders>
          </w:tcPr>
          <w:p w14:paraId="09C4E758"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1EBE2A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15</w:t>
            </w:r>
          </w:p>
        </w:tc>
        <w:tc>
          <w:tcPr>
            <w:tcW w:w="1418" w:type="dxa"/>
            <w:tcBorders>
              <w:top w:val="nil"/>
              <w:left w:val="single" w:sz="4" w:space="0" w:color="auto"/>
              <w:bottom w:val="nil"/>
              <w:right w:val="single" w:sz="12" w:space="0" w:color="auto"/>
            </w:tcBorders>
          </w:tcPr>
          <w:p w14:paraId="3163DA2B"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4E0303A5" w14:textId="77777777" w:rsidTr="00BB5473">
        <w:trPr>
          <w:jc w:val="center"/>
        </w:trPr>
        <w:tc>
          <w:tcPr>
            <w:tcW w:w="567" w:type="dxa"/>
            <w:tcBorders>
              <w:top w:val="nil"/>
              <w:left w:val="single" w:sz="12" w:space="0" w:color="auto"/>
              <w:bottom w:val="nil"/>
              <w:right w:val="single" w:sz="4" w:space="0" w:color="auto"/>
            </w:tcBorders>
          </w:tcPr>
          <w:p w14:paraId="7383EA9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15</w:t>
            </w:r>
          </w:p>
        </w:tc>
        <w:tc>
          <w:tcPr>
            <w:tcW w:w="5387" w:type="dxa"/>
            <w:tcBorders>
              <w:top w:val="nil"/>
              <w:left w:val="nil"/>
              <w:bottom w:val="nil"/>
              <w:right w:val="nil"/>
            </w:tcBorders>
          </w:tcPr>
          <w:p w14:paraId="26CADD66"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Рубильник [вимикач, роз'єднувач] однополюсний на</w:t>
            </w:r>
          </w:p>
          <w:p w14:paraId="4F9C5D5B"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плиті з центральною або бічною рукояткою або</w:t>
            </w:r>
          </w:p>
          <w:p w14:paraId="3CB65AF4"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lastRenderedPageBreak/>
              <w:t>керуванням штангою, що установлюється на металевій</w:t>
            </w:r>
          </w:p>
          <w:p w14:paraId="3ACC15E3"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основі, струм до 250 А</w:t>
            </w:r>
          </w:p>
        </w:tc>
        <w:tc>
          <w:tcPr>
            <w:tcW w:w="1418" w:type="dxa"/>
            <w:tcBorders>
              <w:top w:val="nil"/>
              <w:left w:val="single" w:sz="4" w:space="0" w:color="auto"/>
              <w:bottom w:val="nil"/>
              <w:right w:val="nil"/>
            </w:tcBorders>
          </w:tcPr>
          <w:p w14:paraId="427077BC" w14:textId="77777777" w:rsidR="00FF756E" w:rsidRPr="00725053" w:rsidRDefault="00FF756E" w:rsidP="00BB5473">
            <w:pPr>
              <w:keepLines/>
              <w:autoSpaceDE w:val="0"/>
              <w:autoSpaceDN w:val="0"/>
              <w:jc w:val="center"/>
              <w:rPr>
                <w:rFonts w:ascii="Arial" w:hAnsi="Arial" w:cs="Arial"/>
                <w:sz w:val="20"/>
                <w:szCs w:val="20"/>
              </w:rPr>
            </w:pPr>
            <w:proofErr w:type="spellStart"/>
            <w:r w:rsidRPr="00725053">
              <w:rPr>
                <w:rFonts w:ascii="Arial" w:hAnsi="Arial" w:cs="Arial"/>
                <w:spacing w:val="-5"/>
                <w:sz w:val="20"/>
                <w:szCs w:val="20"/>
              </w:rPr>
              <w:lastRenderedPageBreak/>
              <w:t>шт</w:t>
            </w:r>
            <w:proofErr w:type="spellEnd"/>
          </w:p>
        </w:tc>
        <w:tc>
          <w:tcPr>
            <w:tcW w:w="1418" w:type="dxa"/>
            <w:tcBorders>
              <w:top w:val="nil"/>
              <w:left w:val="single" w:sz="4" w:space="0" w:color="auto"/>
              <w:bottom w:val="nil"/>
              <w:right w:val="single" w:sz="4" w:space="0" w:color="auto"/>
            </w:tcBorders>
          </w:tcPr>
          <w:p w14:paraId="6FAE5211"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D8F502A"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46AC6E35" w14:textId="77777777" w:rsidTr="00BB5473">
        <w:trPr>
          <w:jc w:val="center"/>
        </w:trPr>
        <w:tc>
          <w:tcPr>
            <w:tcW w:w="567" w:type="dxa"/>
            <w:tcBorders>
              <w:top w:val="nil"/>
              <w:left w:val="single" w:sz="12" w:space="0" w:color="auto"/>
              <w:bottom w:val="nil"/>
              <w:right w:val="single" w:sz="4" w:space="0" w:color="auto"/>
            </w:tcBorders>
          </w:tcPr>
          <w:p w14:paraId="64AFA71B"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16</w:t>
            </w:r>
          </w:p>
        </w:tc>
        <w:tc>
          <w:tcPr>
            <w:tcW w:w="5387" w:type="dxa"/>
            <w:tcBorders>
              <w:top w:val="nil"/>
              <w:left w:val="nil"/>
              <w:bottom w:val="nil"/>
              <w:right w:val="nil"/>
            </w:tcBorders>
          </w:tcPr>
          <w:p w14:paraId="41AAB2AA"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Кабель до 35 кВ, що прокладається з кріпленням</w:t>
            </w:r>
          </w:p>
          <w:p w14:paraId="4C950743"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накладними скобами, маса 1 м до 1 кг</w:t>
            </w:r>
          </w:p>
        </w:tc>
        <w:tc>
          <w:tcPr>
            <w:tcW w:w="1418" w:type="dxa"/>
            <w:tcBorders>
              <w:top w:val="nil"/>
              <w:left w:val="single" w:sz="4" w:space="0" w:color="auto"/>
              <w:bottom w:val="nil"/>
              <w:right w:val="nil"/>
            </w:tcBorders>
          </w:tcPr>
          <w:p w14:paraId="0C447793"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9ABFAE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15C521C0"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66047F64" w14:textId="77777777" w:rsidTr="00BB5473">
        <w:trPr>
          <w:jc w:val="center"/>
        </w:trPr>
        <w:tc>
          <w:tcPr>
            <w:tcW w:w="567" w:type="dxa"/>
            <w:tcBorders>
              <w:top w:val="nil"/>
              <w:left w:val="single" w:sz="12" w:space="0" w:color="auto"/>
              <w:bottom w:val="nil"/>
              <w:right w:val="single" w:sz="4" w:space="0" w:color="auto"/>
            </w:tcBorders>
          </w:tcPr>
          <w:p w14:paraId="600CCE94"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17</w:t>
            </w:r>
          </w:p>
        </w:tc>
        <w:tc>
          <w:tcPr>
            <w:tcW w:w="5387" w:type="dxa"/>
            <w:tcBorders>
              <w:top w:val="nil"/>
              <w:left w:val="nil"/>
              <w:bottom w:val="nil"/>
              <w:right w:val="nil"/>
            </w:tcBorders>
          </w:tcPr>
          <w:p w14:paraId="665DF01C"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Провід, що прокладається у лотках, сумарний переріз до</w:t>
            </w:r>
          </w:p>
          <w:p w14:paraId="3CD1550A"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70 мм2</w:t>
            </w:r>
          </w:p>
        </w:tc>
        <w:tc>
          <w:tcPr>
            <w:tcW w:w="1418" w:type="dxa"/>
            <w:tcBorders>
              <w:top w:val="nil"/>
              <w:left w:val="single" w:sz="4" w:space="0" w:color="auto"/>
              <w:bottom w:val="nil"/>
              <w:right w:val="nil"/>
            </w:tcBorders>
          </w:tcPr>
          <w:p w14:paraId="45B82591"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48609B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40</w:t>
            </w:r>
          </w:p>
        </w:tc>
        <w:tc>
          <w:tcPr>
            <w:tcW w:w="1418" w:type="dxa"/>
            <w:tcBorders>
              <w:top w:val="nil"/>
              <w:left w:val="single" w:sz="4" w:space="0" w:color="auto"/>
              <w:bottom w:val="nil"/>
              <w:right w:val="single" w:sz="12" w:space="0" w:color="auto"/>
            </w:tcBorders>
          </w:tcPr>
          <w:p w14:paraId="652F6361"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529620C0" w14:textId="77777777" w:rsidTr="00BB5473">
        <w:trPr>
          <w:jc w:val="center"/>
        </w:trPr>
        <w:tc>
          <w:tcPr>
            <w:tcW w:w="567" w:type="dxa"/>
            <w:tcBorders>
              <w:top w:val="nil"/>
              <w:left w:val="single" w:sz="12" w:space="0" w:color="auto"/>
              <w:bottom w:val="nil"/>
              <w:right w:val="single" w:sz="4" w:space="0" w:color="auto"/>
            </w:tcBorders>
          </w:tcPr>
          <w:p w14:paraId="55980288"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18</w:t>
            </w:r>
          </w:p>
        </w:tc>
        <w:tc>
          <w:tcPr>
            <w:tcW w:w="5387" w:type="dxa"/>
            <w:tcBorders>
              <w:top w:val="nil"/>
              <w:left w:val="nil"/>
              <w:bottom w:val="nil"/>
              <w:right w:val="nil"/>
            </w:tcBorders>
          </w:tcPr>
          <w:p w14:paraId="43A60821"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Монтаж обмежувача перенапруги [комплект - 3 фази],</w:t>
            </w:r>
          </w:p>
          <w:p w14:paraId="5392A2F8"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напруга до 500 кВ</w:t>
            </w:r>
          </w:p>
        </w:tc>
        <w:tc>
          <w:tcPr>
            <w:tcW w:w="1418" w:type="dxa"/>
            <w:tcBorders>
              <w:top w:val="nil"/>
              <w:left w:val="single" w:sz="4" w:space="0" w:color="auto"/>
              <w:bottom w:val="nil"/>
              <w:right w:val="nil"/>
            </w:tcBorders>
          </w:tcPr>
          <w:p w14:paraId="3B82DAC9"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комплект</w:t>
            </w:r>
          </w:p>
        </w:tc>
        <w:tc>
          <w:tcPr>
            <w:tcW w:w="1418" w:type="dxa"/>
            <w:tcBorders>
              <w:top w:val="nil"/>
              <w:left w:val="single" w:sz="4" w:space="0" w:color="auto"/>
              <w:bottom w:val="nil"/>
              <w:right w:val="single" w:sz="4" w:space="0" w:color="auto"/>
            </w:tcBorders>
          </w:tcPr>
          <w:p w14:paraId="261030EE"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5631E11E"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42400E68" w14:textId="77777777" w:rsidTr="00BB5473">
        <w:trPr>
          <w:jc w:val="center"/>
        </w:trPr>
        <w:tc>
          <w:tcPr>
            <w:tcW w:w="567" w:type="dxa"/>
            <w:tcBorders>
              <w:top w:val="nil"/>
              <w:left w:val="single" w:sz="12" w:space="0" w:color="auto"/>
              <w:bottom w:val="nil"/>
              <w:right w:val="single" w:sz="4" w:space="0" w:color="auto"/>
            </w:tcBorders>
          </w:tcPr>
          <w:p w14:paraId="6473525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19</w:t>
            </w:r>
          </w:p>
        </w:tc>
        <w:tc>
          <w:tcPr>
            <w:tcW w:w="5387" w:type="dxa"/>
            <w:tcBorders>
              <w:top w:val="nil"/>
              <w:left w:val="nil"/>
              <w:bottom w:val="nil"/>
              <w:right w:val="nil"/>
            </w:tcBorders>
          </w:tcPr>
          <w:p w14:paraId="3729F532"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Шини заземлення електричних установок</w:t>
            </w:r>
          </w:p>
        </w:tc>
        <w:tc>
          <w:tcPr>
            <w:tcW w:w="1418" w:type="dxa"/>
            <w:tcBorders>
              <w:top w:val="nil"/>
              <w:left w:val="single" w:sz="4" w:space="0" w:color="auto"/>
              <w:bottom w:val="nil"/>
              <w:right w:val="nil"/>
            </w:tcBorders>
          </w:tcPr>
          <w:p w14:paraId="5FB05E19"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м шин</w:t>
            </w:r>
          </w:p>
        </w:tc>
        <w:tc>
          <w:tcPr>
            <w:tcW w:w="1418" w:type="dxa"/>
            <w:tcBorders>
              <w:top w:val="nil"/>
              <w:left w:val="single" w:sz="4" w:space="0" w:color="auto"/>
              <w:bottom w:val="nil"/>
              <w:right w:val="single" w:sz="4" w:space="0" w:color="auto"/>
            </w:tcBorders>
          </w:tcPr>
          <w:p w14:paraId="0C16C43F"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60734C39"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725053" w:rsidRPr="00725053" w14:paraId="7CFBB3F0" w14:textId="77777777" w:rsidTr="00BB5473">
        <w:trPr>
          <w:jc w:val="center"/>
        </w:trPr>
        <w:tc>
          <w:tcPr>
            <w:tcW w:w="567" w:type="dxa"/>
            <w:tcBorders>
              <w:top w:val="nil"/>
              <w:left w:val="single" w:sz="12" w:space="0" w:color="auto"/>
              <w:bottom w:val="nil"/>
              <w:right w:val="single" w:sz="4" w:space="0" w:color="auto"/>
            </w:tcBorders>
          </w:tcPr>
          <w:p w14:paraId="2E75949B"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20</w:t>
            </w:r>
          </w:p>
        </w:tc>
        <w:tc>
          <w:tcPr>
            <w:tcW w:w="5387" w:type="dxa"/>
            <w:tcBorders>
              <w:top w:val="nil"/>
              <w:left w:val="nil"/>
              <w:bottom w:val="nil"/>
              <w:right w:val="nil"/>
            </w:tcBorders>
          </w:tcPr>
          <w:p w14:paraId="6FD2DC91"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Заземлювач горизонтальний у траншеї зі сталі штабової,</w:t>
            </w:r>
          </w:p>
          <w:p w14:paraId="076493DA"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 xml:space="preserve"> переріз 160 мм2</w:t>
            </w:r>
          </w:p>
        </w:tc>
        <w:tc>
          <w:tcPr>
            <w:tcW w:w="1418" w:type="dxa"/>
            <w:tcBorders>
              <w:top w:val="nil"/>
              <w:left w:val="single" w:sz="4" w:space="0" w:color="auto"/>
              <w:bottom w:val="nil"/>
              <w:right w:val="nil"/>
            </w:tcBorders>
          </w:tcPr>
          <w:p w14:paraId="3888B856"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7014802C"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11</w:t>
            </w:r>
          </w:p>
        </w:tc>
        <w:tc>
          <w:tcPr>
            <w:tcW w:w="1418" w:type="dxa"/>
            <w:tcBorders>
              <w:top w:val="nil"/>
              <w:left w:val="single" w:sz="4" w:space="0" w:color="auto"/>
              <w:bottom w:val="nil"/>
              <w:right w:val="single" w:sz="12" w:space="0" w:color="auto"/>
            </w:tcBorders>
          </w:tcPr>
          <w:p w14:paraId="5D861C62"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FF756E" w:rsidRPr="00725053" w14:paraId="50196A53" w14:textId="77777777" w:rsidTr="00BB5473">
        <w:trPr>
          <w:jc w:val="center"/>
        </w:trPr>
        <w:tc>
          <w:tcPr>
            <w:tcW w:w="567" w:type="dxa"/>
            <w:tcBorders>
              <w:top w:val="nil"/>
              <w:left w:val="single" w:sz="12" w:space="0" w:color="auto"/>
              <w:bottom w:val="nil"/>
              <w:right w:val="single" w:sz="4" w:space="0" w:color="auto"/>
            </w:tcBorders>
          </w:tcPr>
          <w:p w14:paraId="5F33044F"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21</w:t>
            </w:r>
          </w:p>
        </w:tc>
        <w:tc>
          <w:tcPr>
            <w:tcW w:w="5387" w:type="dxa"/>
            <w:tcBorders>
              <w:top w:val="nil"/>
              <w:left w:val="nil"/>
              <w:bottom w:val="nil"/>
              <w:right w:val="nil"/>
            </w:tcBorders>
          </w:tcPr>
          <w:p w14:paraId="433929EF"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Заземлювач горизонтальний у траншеї зі сталі круглої,</w:t>
            </w:r>
          </w:p>
          <w:p w14:paraId="030A8A7F"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діаметр 12 мм2</w:t>
            </w:r>
          </w:p>
        </w:tc>
        <w:tc>
          <w:tcPr>
            <w:tcW w:w="1418" w:type="dxa"/>
            <w:tcBorders>
              <w:top w:val="nil"/>
              <w:left w:val="single" w:sz="4" w:space="0" w:color="auto"/>
              <w:bottom w:val="nil"/>
              <w:right w:val="nil"/>
            </w:tcBorders>
          </w:tcPr>
          <w:p w14:paraId="466FE75A"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4E0B50E5"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14:paraId="232B52EF"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bl>
    <w:p w14:paraId="7D53BC5B" w14:textId="77777777" w:rsidR="00FF756E" w:rsidRPr="00725053" w:rsidRDefault="00FF756E" w:rsidP="00FF756E">
      <w:pPr>
        <w:autoSpaceDE w:val="0"/>
        <w:autoSpaceDN w:val="0"/>
        <w:rPr>
          <w:sz w:val="2"/>
          <w:szCs w:val="2"/>
        </w:rPr>
      </w:pPr>
    </w:p>
    <w:p w14:paraId="622AC9FC" w14:textId="77777777" w:rsidR="00020BCC" w:rsidRPr="00725053" w:rsidRDefault="00020BCC" w:rsidP="00020BCC">
      <w:pPr>
        <w:rPr>
          <w:sz w:val="2"/>
          <w:szCs w:val="2"/>
        </w:rPr>
      </w:pPr>
    </w:p>
    <w:p w14:paraId="23BD7FA0" w14:textId="77777777" w:rsidR="00020BCC" w:rsidRPr="00725053" w:rsidRDefault="00020BCC" w:rsidP="00020BCC">
      <w:pPr>
        <w:rPr>
          <w:sz w:val="2"/>
          <w:szCs w:val="2"/>
        </w:rPr>
      </w:pPr>
    </w:p>
    <w:p w14:paraId="24EC24DD" w14:textId="77777777" w:rsidR="00020BCC" w:rsidRPr="00725053" w:rsidRDefault="00020BCC" w:rsidP="00020BCC">
      <w:pPr>
        <w:rPr>
          <w:sz w:val="2"/>
          <w:szCs w:val="2"/>
        </w:rPr>
      </w:pPr>
    </w:p>
    <w:tbl>
      <w:tblPr>
        <w:tblW w:w="10208" w:type="dxa"/>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725053" w:rsidRPr="00725053" w14:paraId="69812588" w14:textId="77777777" w:rsidTr="0000574F">
        <w:trPr>
          <w:jc w:val="center"/>
        </w:trPr>
        <w:tc>
          <w:tcPr>
            <w:tcW w:w="10208" w:type="dxa"/>
            <w:gridSpan w:val="5"/>
            <w:tcBorders>
              <w:top w:val="single" w:sz="12" w:space="0" w:color="auto"/>
              <w:left w:val="single" w:sz="12" w:space="0" w:color="auto"/>
              <w:bottom w:val="single" w:sz="4" w:space="0" w:color="auto"/>
              <w:right w:val="single" w:sz="12" w:space="0" w:color="auto"/>
            </w:tcBorders>
            <w:vAlign w:val="center"/>
          </w:tcPr>
          <w:p w14:paraId="59CEB1A0" w14:textId="361FA32A" w:rsidR="00020BCC" w:rsidRPr="00725053" w:rsidRDefault="00020BCC" w:rsidP="00BB5473">
            <w:pPr>
              <w:keepLines/>
              <w:autoSpaceDE w:val="0"/>
              <w:autoSpaceDN w:val="0"/>
              <w:jc w:val="center"/>
              <w:rPr>
                <w:rFonts w:ascii="Arial" w:hAnsi="Arial" w:cs="Arial"/>
                <w:sz w:val="20"/>
                <w:szCs w:val="20"/>
              </w:rPr>
            </w:pPr>
          </w:p>
        </w:tc>
      </w:tr>
      <w:tr w:rsidR="00725053" w:rsidRPr="00725053" w14:paraId="0BFACE49" w14:textId="77777777" w:rsidTr="00020BCC">
        <w:trPr>
          <w:jc w:val="center"/>
        </w:trPr>
        <w:tc>
          <w:tcPr>
            <w:tcW w:w="567" w:type="dxa"/>
            <w:tcBorders>
              <w:top w:val="nil"/>
              <w:left w:val="single" w:sz="12" w:space="0" w:color="auto"/>
              <w:bottom w:val="nil"/>
              <w:right w:val="single" w:sz="4" w:space="0" w:color="auto"/>
            </w:tcBorders>
          </w:tcPr>
          <w:p w14:paraId="1A89CD84"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22</w:t>
            </w:r>
          </w:p>
        </w:tc>
        <w:tc>
          <w:tcPr>
            <w:tcW w:w="5387" w:type="dxa"/>
            <w:tcBorders>
              <w:top w:val="nil"/>
              <w:left w:val="nil"/>
              <w:bottom w:val="nil"/>
              <w:right w:val="nil"/>
            </w:tcBorders>
          </w:tcPr>
          <w:p w14:paraId="339E0524"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 xml:space="preserve">Прокладання </w:t>
            </w:r>
            <w:proofErr w:type="spellStart"/>
            <w:r w:rsidRPr="00725053">
              <w:rPr>
                <w:rFonts w:ascii="Arial" w:hAnsi="Arial" w:cs="Arial"/>
                <w:spacing w:val="-5"/>
                <w:sz w:val="20"/>
                <w:szCs w:val="20"/>
              </w:rPr>
              <w:t>вініпластових</w:t>
            </w:r>
            <w:proofErr w:type="spellEnd"/>
            <w:r w:rsidRPr="00725053">
              <w:rPr>
                <w:rFonts w:ascii="Arial" w:hAnsi="Arial" w:cs="Arial"/>
                <w:spacing w:val="-5"/>
                <w:sz w:val="20"/>
                <w:szCs w:val="20"/>
              </w:rPr>
              <w:t xml:space="preserve"> труб, що поставляються</w:t>
            </w:r>
          </w:p>
          <w:p w14:paraId="5037F4CB"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прямими трубами довжиною 5-7 м, по стінах і колонах із</w:t>
            </w:r>
          </w:p>
          <w:p w14:paraId="0DB6EADD"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кріпленням накладними скобами, діаметр умовного</w:t>
            </w:r>
          </w:p>
          <w:p w14:paraId="3D5CCEF7"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проходу до 25 мм</w:t>
            </w:r>
          </w:p>
        </w:tc>
        <w:tc>
          <w:tcPr>
            <w:tcW w:w="1418" w:type="dxa"/>
            <w:tcBorders>
              <w:top w:val="nil"/>
              <w:left w:val="single" w:sz="4" w:space="0" w:color="auto"/>
              <w:bottom w:val="nil"/>
              <w:right w:val="nil"/>
            </w:tcBorders>
          </w:tcPr>
          <w:p w14:paraId="2C7CB9CA"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7F04EFA"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6912A96E"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r w:rsidR="00FF756E" w:rsidRPr="00725053" w14:paraId="63826EB7" w14:textId="77777777" w:rsidTr="00020BCC">
        <w:trPr>
          <w:jc w:val="center"/>
        </w:trPr>
        <w:tc>
          <w:tcPr>
            <w:tcW w:w="567" w:type="dxa"/>
            <w:tcBorders>
              <w:top w:val="nil"/>
              <w:left w:val="single" w:sz="12" w:space="0" w:color="auto"/>
              <w:bottom w:val="nil"/>
              <w:right w:val="single" w:sz="4" w:space="0" w:color="auto"/>
            </w:tcBorders>
          </w:tcPr>
          <w:p w14:paraId="2FC87A85"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23</w:t>
            </w:r>
          </w:p>
        </w:tc>
        <w:tc>
          <w:tcPr>
            <w:tcW w:w="5387" w:type="dxa"/>
            <w:tcBorders>
              <w:top w:val="nil"/>
              <w:left w:val="nil"/>
              <w:bottom w:val="nil"/>
              <w:right w:val="nil"/>
            </w:tcBorders>
          </w:tcPr>
          <w:p w14:paraId="39111C67"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Затягування у прокладені труби або металеві рукави</w:t>
            </w:r>
          </w:p>
          <w:p w14:paraId="607B7E52" w14:textId="77777777" w:rsidR="00FF756E" w:rsidRPr="00725053" w:rsidRDefault="00FF756E" w:rsidP="00BB5473">
            <w:pPr>
              <w:keepLines/>
              <w:autoSpaceDE w:val="0"/>
              <w:autoSpaceDN w:val="0"/>
              <w:rPr>
                <w:rFonts w:ascii="Arial" w:hAnsi="Arial" w:cs="Arial"/>
                <w:spacing w:val="-5"/>
                <w:sz w:val="20"/>
                <w:szCs w:val="20"/>
              </w:rPr>
            </w:pPr>
            <w:r w:rsidRPr="00725053">
              <w:rPr>
                <w:rFonts w:ascii="Arial" w:hAnsi="Arial" w:cs="Arial"/>
                <w:spacing w:val="-5"/>
                <w:sz w:val="20"/>
                <w:szCs w:val="20"/>
              </w:rPr>
              <w:t>проводу першого одножильного або багатожильного у</w:t>
            </w:r>
          </w:p>
          <w:p w14:paraId="7CAA06FF" w14:textId="77777777" w:rsidR="00FF756E" w:rsidRPr="00725053" w:rsidRDefault="00FF756E" w:rsidP="00BB5473">
            <w:pPr>
              <w:keepLines/>
              <w:autoSpaceDE w:val="0"/>
              <w:autoSpaceDN w:val="0"/>
              <w:rPr>
                <w:rFonts w:ascii="Arial" w:hAnsi="Arial" w:cs="Arial"/>
                <w:sz w:val="20"/>
                <w:szCs w:val="20"/>
              </w:rPr>
            </w:pPr>
            <w:r w:rsidRPr="00725053">
              <w:rPr>
                <w:rFonts w:ascii="Arial" w:hAnsi="Arial" w:cs="Arial"/>
                <w:spacing w:val="-5"/>
                <w:sz w:val="20"/>
                <w:szCs w:val="20"/>
              </w:rPr>
              <w:t>загальному обплетенні сумарним перерізом до 6 мм2</w:t>
            </w:r>
          </w:p>
        </w:tc>
        <w:tc>
          <w:tcPr>
            <w:tcW w:w="1418" w:type="dxa"/>
            <w:tcBorders>
              <w:top w:val="nil"/>
              <w:left w:val="single" w:sz="4" w:space="0" w:color="auto"/>
              <w:bottom w:val="nil"/>
              <w:right w:val="nil"/>
            </w:tcBorders>
          </w:tcPr>
          <w:p w14:paraId="21DB6477"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8A9FE92" w14:textId="77777777" w:rsidR="00FF756E" w:rsidRPr="00725053" w:rsidRDefault="00FF756E" w:rsidP="00BB5473">
            <w:pPr>
              <w:keepLines/>
              <w:autoSpaceDE w:val="0"/>
              <w:autoSpaceDN w:val="0"/>
              <w:jc w:val="center"/>
              <w:rPr>
                <w:rFonts w:ascii="Arial" w:hAnsi="Arial" w:cs="Arial"/>
                <w:sz w:val="20"/>
                <w:szCs w:val="20"/>
              </w:rPr>
            </w:pPr>
            <w:r w:rsidRPr="00725053">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2C9822F9" w14:textId="77777777" w:rsidR="00FF756E" w:rsidRPr="00725053" w:rsidRDefault="00FF756E" w:rsidP="00BB5473">
            <w:pPr>
              <w:autoSpaceDE w:val="0"/>
              <w:autoSpaceDN w:val="0"/>
              <w:adjustRightInd w:val="0"/>
              <w:rPr>
                <w:rFonts w:ascii="Arial" w:hAnsi="Arial" w:cs="Arial"/>
                <w:sz w:val="16"/>
                <w:szCs w:val="16"/>
              </w:rPr>
            </w:pPr>
            <w:r w:rsidRPr="00725053">
              <w:rPr>
                <w:rFonts w:ascii="Arial" w:hAnsi="Arial" w:cs="Arial"/>
                <w:sz w:val="16"/>
                <w:szCs w:val="16"/>
              </w:rPr>
              <w:t xml:space="preserve"> </w:t>
            </w:r>
          </w:p>
        </w:tc>
      </w:tr>
    </w:tbl>
    <w:p w14:paraId="6C4693A7" w14:textId="77777777" w:rsidR="00FF756E" w:rsidRPr="00725053" w:rsidRDefault="00FF756E" w:rsidP="00BE533F">
      <w:pPr>
        <w:pStyle w:val="a4"/>
        <w:jc w:val="both"/>
      </w:pPr>
    </w:p>
    <w:p w14:paraId="6CF3E70F" w14:textId="63F40EC7" w:rsidR="00FF756E" w:rsidRPr="00725053" w:rsidRDefault="00FF756E" w:rsidP="00BE533F">
      <w:pPr>
        <w:pStyle w:val="a4"/>
        <w:jc w:val="both"/>
      </w:pPr>
    </w:p>
    <w:p w14:paraId="24E7CA87" w14:textId="6B515589" w:rsidR="00FF756E" w:rsidRPr="00725053" w:rsidRDefault="00FF756E" w:rsidP="00BE533F">
      <w:pPr>
        <w:pStyle w:val="a4"/>
        <w:jc w:val="both"/>
      </w:pPr>
    </w:p>
    <w:p w14:paraId="2A4B6753" w14:textId="77777777" w:rsidR="00FF756E" w:rsidRPr="00725053" w:rsidRDefault="00FF756E" w:rsidP="00BE533F">
      <w:pPr>
        <w:pStyle w:val="a4"/>
        <w:jc w:val="both"/>
      </w:pPr>
    </w:p>
    <w:p w14:paraId="348BF42A" w14:textId="77777777" w:rsidR="00BE533F" w:rsidRPr="00725053" w:rsidRDefault="00BE533F" w:rsidP="00BE533F">
      <w:pPr>
        <w:autoSpaceDE w:val="0"/>
        <w:autoSpaceDN w:val="0"/>
        <w:rPr>
          <w:sz w:val="2"/>
          <w:szCs w:val="2"/>
        </w:rPr>
      </w:pPr>
    </w:p>
    <w:p w14:paraId="65FD3E9E" w14:textId="77777777" w:rsidR="00156721" w:rsidRPr="00725053" w:rsidRDefault="00156721" w:rsidP="00156721">
      <w:pPr>
        <w:rPr>
          <w:sz w:val="2"/>
          <w:szCs w:val="2"/>
        </w:rPr>
      </w:pPr>
    </w:p>
    <w:p w14:paraId="356470C2" w14:textId="77777777" w:rsidR="00156721" w:rsidRPr="00725053" w:rsidRDefault="00156721" w:rsidP="00156721">
      <w:pPr>
        <w:rPr>
          <w:sz w:val="2"/>
          <w:szCs w:val="2"/>
        </w:rPr>
      </w:pPr>
    </w:p>
    <w:p w14:paraId="4A71A8A5" w14:textId="77777777" w:rsidR="00BE533F" w:rsidRPr="00725053" w:rsidRDefault="00BE533F" w:rsidP="00BE533F">
      <w:pPr>
        <w:autoSpaceDE w:val="0"/>
        <w:autoSpaceDN w:val="0"/>
        <w:rPr>
          <w:sz w:val="2"/>
          <w:szCs w:val="2"/>
        </w:rPr>
      </w:pPr>
    </w:p>
    <w:p w14:paraId="405DF407" w14:textId="77777777" w:rsidR="00156721" w:rsidRPr="00725053" w:rsidRDefault="00156721" w:rsidP="00156721">
      <w:pPr>
        <w:rPr>
          <w:sz w:val="2"/>
          <w:szCs w:val="2"/>
        </w:rPr>
      </w:pPr>
    </w:p>
    <w:p w14:paraId="6FD05ED1" w14:textId="77777777" w:rsidR="00156721" w:rsidRPr="00725053" w:rsidRDefault="00156721" w:rsidP="00156721">
      <w:pPr>
        <w:rPr>
          <w:sz w:val="2"/>
          <w:szCs w:val="2"/>
        </w:rPr>
      </w:pPr>
    </w:p>
    <w:p w14:paraId="4F99A445" w14:textId="77777777" w:rsidR="00156721" w:rsidRPr="00725053" w:rsidRDefault="00156721" w:rsidP="00156721">
      <w:pPr>
        <w:rPr>
          <w:sz w:val="2"/>
          <w:szCs w:val="2"/>
        </w:rPr>
      </w:pPr>
    </w:p>
    <w:p w14:paraId="0BCC6EB1" w14:textId="77777777" w:rsidR="00BE533F" w:rsidRPr="00725053" w:rsidRDefault="00BE533F" w:rsidP="00BE533F">
      <w:pPr>
        <w:autoSpaceDE w:val="0"/>
        <w:autoSpaceDN w:val="0"/>
        <w:rPr>
          <w:sz w:val="2"/>
          <w:szCs w:val="2"/>
        </w:rPr>
      </w:pPr>
    </w:p>
    <w:p w14:paraId="095D0344" w14:textId="77777777" w:rsidR="0081737A" w:rsidRPr="00725053" w:rsidRDefault="0081737A" w:rsidP="0081737A">
      <w:pPr>
        <w:rPr>
          <w:sz w:val="2"/>
          <w:szCs w:val="2"/>
        </w:rPr>
      </w:pPr>
    </w:p>
    <w:p w14:paraId="2E86BE67" w14:textId="77777777" w:rsidR="00BE533F" w:rsidRPr="00725053" w:rsidRDefault="00BE533F" w:rsidP="00BE533F">
      <w:pPr>
        <w:pStyle w:val="a4"/>
        <w:jc w:val="both"/>
      </w:pPr>
    </w:p>
    <w:p w14:paraId="27D879EB" w14:textId="77777777" w:rsidR="00D768E5" w:rsidRPr="00725053" w:rsidRDefault="00D768E5" w:rsidP="00D768E5">
      <w:pPr>
        <w:spacing w:after="280"/>
        <w:jc w:val="center"/>
        <w:rPr>
          <w:b/>
        </w:rPr>
      </w:pPr>
    </w:p>
    <w:p w14:paraId="379A3A99" w14:textId="77777777" w:rsidR="00A47AFA" w:rsidRPr="00725053" w:rsidRDefault="00A47AFA" w:rsidP="00043B6F">
      <w:pPr>
        <w:pBdr>
          <w:top w:val="nil"/>
          <w:left w:val="nil"/>
          <w:bottom w:val="nil"/>
          <w:right w:val="nil"/>
          <w:between w:val="nil"/>
        </w:pBdr>
        <w:ind w:left="720"/>
        <w:jc w:val="center"/>
        <w:rPr>
          <w:b/>
        </w:rPr>
      </w:pPr>
    </w:p>
    <w:p w14:paraId="00000002" w14:textId="77777777" w:rsidR="000404F2" w:rsidRPr="00725053" w:rsidRDefault="000404F2">
      <w:pPr>
        <w:pBdr>
          <w:top w:val="nil"/>
          <w:left w:val="nil"/>
          <w:bottom w:val="nil"/>
          <w:right w:val="nil"/>
          <w:between w:val="nil"/>
        </w:pBdr>
        <w:ind w:left="720"/>
        <w:jc w:val="right"/>
        <w:rPr>
          <w:i/>
          <w:sz w:val="20"/>
          <w:szCs w:val="20"/>
        </w:rPr>
      </w:pPr>
    </w:p>
    <w:p w14:paraId="00000010" w14:textId="77777777" w:rsidR="000404F2" w:rsidRPr="00725053" w:rsidRDefault="000404F2">
      <w:pPr>
        <w:jc w:val="both"/>
        <w:rPr>
          <w:sz w:val="20"/>
          <w:szCs w:val="20"/>
        </w:rPr>
      </w:pPr>
    </w:p>
    <w:p w14:paraId="00000011" w14:textId="24EEBDBC" w:rsidR="000404F2" w:rsidRPr="00725053" w:rsidRDefault="004C4C6B">
      <w:pPr>
        <w:jc w:val="both"/>
      </w:pPr>
      <w:r w:rsidRPr="00725053">
        <w:rPr>
          <w:sz w:val="16"/>
          <w:szCs w:val="16"/>
        </w:rPr>
        <w:t xml:space="preserve"> </w:t>
      </w:r>
    </w:p>
    <w:sectPr w:rsidR="000404F2" w:rsidRPr="00725053" w:rsidSect="00D95481">
      <w:headerReference w:type="default" r:id="rId11"/>
      <w:pgSz w:w="11906" w:h="16838"/>
      <w:pgMar w:top="709" w:right="850" w:bottom="426"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EDECC" w14:textId="77777777" w:rsidR="00956ABA" w:rsidRDefault="00956ABA" w:rsidP="002112C5">
      <w:r>
        <w:separator/>
      </w:r>
    </w:p>
  </w:endnote>
  <w:endnote w:type="continuationSeparator" w:id="0">
    <w:p w14:paraId="6262AE61" w14:textId="77777777" w:rsidR="00956ABA" w:rsidRDefault="00956ABA" w:rsidP="002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0EAF6" w14:textId="77777777" w:rsidR="00956ABA" w:rsidRDefault="00956ABA" w:rsidP="002112C5">
      <w:r>
        <w:separator/>
      </w:r>
    </w:p>
  </w:footnote>
  <w:footnote w:type="continuationSeparator" w:id="0">
    <w:p w14:paraId="676FB9BC" w14:textId="77777777" w:rsidR="00956ABA" w:rsidRDefault="00956ABA" w:rsidP="00211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E4E88" w14:textId="77777777" w:rsidR="00FF756E" w:rsidRPr="003D0D0D" w:rsidRDefault="00FF756E" w:rsidP="003D0D0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12187"/>
    <w:rsid w:val="00020BCC"/>
    <w:rsid w:val="000404F2"/>
    <w:rsid w:val="00043B6F"/>
    <w:rsid w:val="000D4738"/>
    <w:rsid w:val="000E4845"/>
    <w:rsid w:val="00137387"/>
    <w:rsid w:val="00156721"/>
    <w:rsid w:val="0018577A"/>
    <w:rsid w:val="001B728C"/>
    <w:rsid w:val="002112C5"/>
    <w:rsid w:val="002350AC"/>
    <w:rsid w:val="00267DC1"/>
    <w:rsid w:val="003103EF"/>
    <w:rsid w:val="00380718"/>
    <w:rsid w:val="003F07EE"/>
    <w:rsid w:val="003F6556"/>
    <w:rsid w:val="0044024E"/>
    <w:rsid w:val="00445C34"/>
    <w:rsid w:val="00470CA9"/>
    <w:rsid w:val="004C4C6B"/>
    <w:rsid w:val="00534AF8"/>
    <w:rsid w:val="00596892"/>
    <w:rsid w:val="005D5A72"/>
    <w:rsid w:val="00616FC7"/>
    <w:rsid w:val="006631B1"/>
    <w:rsid w:val="006A64F1"/>
    <w:rsid w:val="006D5897"/>
    <w:rsid w:val="00725053"/>
    <w:rsid w:val="00770ACC"/>
    <w:rsid w:val="007A2884"/>
    <w:rsid w:val="007E7035"/>
    <w:rsid w:val="0081737A"/>
    <w:rsid w:val="008C2393"/>
    <w:rsid w:val="008E70D2"/>
    <w:rsid w:val="009040DD"/>
    <w:rsid w:val="009345CB"/>
    <w:rsid w:val="00956ABA"/>
    <w:rsid w:val="0096240B"/>
    <w:rsid w:val="009A070F"/>
    <w:rsid w:val="009B6E25"/>
    <w:rsid w:val="00A47AFA"/>
    <w:rsid w:val="00AA5E1F"/>
    <w:rsid w:val="00AB491F"/>
    <w:rsid w:val="00AE4E20"/>
    <w:rsid w:val="00B00B29"/>
    <w:rsid w:val="00B13749"/>
    <w:rsid w:val="00B258BA"/>
    <w:rsid w:val="00B3026E"/>
    <w:rsid w:val="00B424E3"/>
    <w:rsid w:val="00B43750"/>
    <w:rsid w:val="00B512F7"/>
    <w:rsid w:val="00B82655"/>
    <w:rsid w:val="00B82AEB"/>
    <w:rsid w:val="00BB698D"/>
    <w:rsid w:val="00BC753F"/>
    <w:rsid w:val="00BE533F"/>
    <w:rsid w:val="00C14CB8"/>
    <w:rsid w:val="00C15240"/>
    <w:rsid w:val="00C9476F"/>
    <w:rsid w:val="00D05E69"/>
    <w:rsid w:val="00D41F96"/>
    <w:rsid w:val="00D635C7"/>
    <w:rsid w:val="00D768E5"/>
    <w:rsid w:val="00D95481"/>
    <w:rsid w:val="00E94343"/>
    <w:rsid w:val="00F56B2D"/>
    <w:rsid w:val="00F83D88"/>
    <w:rsid w:val="00F910DA"/>
    <w:rsid w:val="00FF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D7CB"/>
  <w15:docId w15:val="{4C95DCFD-4DE0-4F72-93D8-55239667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6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DA16E2"/>
    <w:pPr>
      <w:ind w:left="720"/>
      <w:contextualSpacing/>
    </w:pPr>
  </w:style>
  <w:style w:type="paragraph" w:styleId="a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paragraph" w:styleId="a7">
    <w:name w:val="Normal (Web)"/>
    <w:basedOn w:val="a"/>
    <w:uiPriority w:val="99"/>
    <w:unhideWhenUsed/>
    <w:rsid w:val="00043B6F"/>
    <w:pPr>
      <w:spacing w:before="100" w:beforeAutospacing="1" w:after="100" w:afterAutospacing="1"/>
    </w:pPr>
  </w:style>
  <w:style w:type="character" w:customStyle="1" w:styleId="10">
    <w:name w:val="Заголовок №1_"/>
    <w:basedOn w:val="a0"/>
    <w:link w:val="11"/>
    <w:rsid w:val="00043B6F"/>
    <w:rPr>
      <w:b/>
      <w:bCs/>
      <w:sz w:val="21"/>
      <w:szCs w:val="21"/>
      <w:shd w:val="clear" w:color="auto" w:fill="FFFFFF"/>
    </w:rPr>
  </w:style>
  <w:style w:type="paragraph" w:customStyle="1" w:styleId="11">
    <w:name w:val="Заголовок №1"/>
    <w:basedOn w:val="a"/>
    <w:link w:val="10"/>
    <w:rsid w:val="00043B6F"/>
    <w:pPr>
      <w:widowControl w:val="0"/>
      <w:shd w:val="clear" w:color="auto" w:fill="FFFFFF"/>
      <w:spacing w:line="232" w:lineRule="exact"/>
      <w:jc w:val="center"/>
      <w:outlineLvl w:val="0"/>
    </w:pPr>
    <w:rPr>
      <w:b/>
      <w:bCs/>
      <w:sz w:val="21"/>
      <w:szCs w:val="21"/>
    </w:rPr>
  </w:style>
  <w:style w:type="character" w:customStyle="1" w:styleId="h-pre-line">
    <w:name w:val="h-pre-line"/>
    <w:basedOn w:val="a0"/>
    <w:rsid w:val="004C4C6B"/>
  </w:style>
  <w:style w:type="character" w:customStyle="1" w:styleId="qaclassifiertype">
    <w:name w:val="qa_classifier_type"/>
    <w:basedOn w:val="a0"/>
    <w:rsid w:val="004C4C6B"/>
  </w:style>
  <w:style w:type="character" w:customStyle="1" w:styleId="qaclassifierdk">
    <w:name w:val="qa_classifier_dk"/>
    <w:basedOn w:val="a0"/>
    <w:rsid w:val="004C4C6B"/>
  </w:style>
  <w:style w:type="character" w:customStyle="1" w:styleId="qaclassifierdescr">
    <w:name w:val="qa_classifier_descr"/>
    <w:basedOn w:val="a0"/>
    <w:rsid w:val="004C4C6B"/>
  </w:style>
  <w:style w:type="character" w:customStyle="1" w:styleId="qaclassifierdescrcode">
    <w:name w:val="qa_classifier_descr_code"/>
    <w:basedOn w:val="a0"/>
    <w:rsid w:val="004C4C6B"/>
  </w:style>
  <w:style w:type="character" w:customStyle="1" w:styleId="qaclassifierdescrprimary">
    <w:name w:val="qa_classifier_descr_primary"/>
    <w:basedOn w:val="a0"/>
    <w:rsid w:val="004C4C6B"/>
  </w:style>
  <w:style w:type="character" w:styleId="a8">
    <w:name w:val="Hyperlink"/>
    <w:uiPriority w:val="99"/>
    <w:rsid w:val="006D5897"/>
    <w:rPr>
      <w:rFonts w:cs="Times New Roman"/>
      <w:color w:val="0000FF"/>
      <w:u w:val="single"/>
    </w:rPr>
  </w:style>
  <w:style w:type="paragraph" w:styleId="a9">
    <w:name w:val="header"/>
    <w:basedOn w:val="a"/>
    <w:link w:val="aa"/>
    <w:uiPriority w:val="99"/>
    <w:unhideWhenUsed/>
    <w:rsid w:val="002112C5"/>
    <w:pPr>
      <w:tabs>
        <w:tab w:val="center" w:pos="4677"/>
        <w:tab w:val="right" w:pos="9355"/>
      </w:tabs>
    </w:pPr>
  </w:style>
  <w:style w:type="character" w:customStyle="1" w:styleId="aa">
    <w:name w:val="Верхний колонтитул Знак"/>
    <w:basedOn w:val="a0"/>
    <w:link w:val="a9"/>
    <w:uiPriority w:val="99"/>
    <w:rsid w:val="002112C5"/>
  </w:style>
  <w:style w:type="paragraph" w:styleId="ab">
    <w:name w:val="footer"/>
    <w:basedOn w:val="a"/>
    <w:link w:val="ac"/>
    <w:uiPriority w:val="99"/>
    <w:unhideWhenUsed/>
    <w:rsid w:val="002112C5"/>
    <w:pPr>
      <w:tabs>
        <w:tab w:val="center" w:pos="4677"/>
        <w:tab w:val="right" w:pos="9355"/>
      </w:tabs>
    </w:pPr>
  </w:style>
  <w:style w:type="character" w:customStyle="1" w:styleId="ac">
    <w:name w:val="Нижний колонтитул Знак"/>
    <w:basedOn w:val="a0"/>
    <w:link w:val="ab"/>
    <w:uiPriority w:val="99"/>
    <w:rsid w:val="00211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137282">
      <w:bodyDiv w:val="1"/>
      <w:marLeft w:val="0"/>
      <w:marRight w:val="0"/>
      <w:marTop w:val="0"/>
      <w:marBottom w:val="0"/>
      <w:divBdr>
        <w:top w:val="none" w:sz="0" w:space="0" w:color="auto"/>
        <w:left w:val="none" w:sz="0" w:space="0" w:color="auto"/>
        <w:bottom w:val="none" w:sz="0" w:space="0" w:color="auto"/>
        <w:right w:val="none" w:sz="0" w:space="0" w:color="auto"/>
      </w:divBdr>
    </w:div>
    <w:div w:id="1053843861">
      <w:bodyDiv w:val="1"/>
      <w:marLeft w:val="0"/>
      <w:marRight w:val="0"/>
      <w:marTop w:val="0"/>
      <w:marBottom w:val="0"/>
      <w:divBdr>
        <w:top w:val="none" w:sz="0" w:space="0" w:color="auto"/>
        <w:left w:val="none" w:sz="0" w:space="0" w:color="auto"/>
        <w:bottom w:val="none" w:sz="0" w:space="0" w:color="auto"/>
        <w:right w:val="none" w:sz="0" w:space="0" w:color="auto"/>
      </w:divBdr>
      <w:divsChild>
        <w:div w:id="894857689">
          <w:marLeft w:val="-225"/>
          <w:marRight w:val="-225"/>
          <w:marTop w:val="0"/>
          <w:marBottom w:val="0"/>
          <w:divBdr>
            <w:top w:val="none" w:sz="0" w:space="0" w:color="auto"/>
            <w:left w:val="none" w:sz="0" w:space="0" w:color="auto"/>
            <w:bottom w:val="none" w:sz="0" w:space="0" w:color="auto"/>
            <w:right w:val="none" w:sz="0" w:space="0" w:color="auto"/>
          </w:divBdr>
          <w:divsChild>
            <w:div w:id="102649216">
              <w:marLeft w:val="0"/>
              <w:marRight w:val="0"/>
              <w:marTop w:val="0"/>
              <w:marBottom w:val="0"/>
              <w:divBdr>
                <w:top w:val="none" w:sz="0" w:space="0" w:color="auto"/>
                <w:left w:val="none" w:sz="0" w:space="0" w:color="auto"/>
                <w:bottom w:val="none" w:sz="0" w:space="0" w:color="auto"/>
                <w:right w:val="none" w:sz="0" w:space="0" w:color="auto"/>
              </w:divBdr>
            </w:div>
          </w:divsChild>
        </w:div>
        <w:div w:id="1387601643">
          <w:marLeft w:val="-225"/>
          <w:marRight w:val="-225"/>
          <w:marTop w:val="0"/>
          <w:marBottom w:val="0"/>
          <w:divBdr>
            <w:top w:val="none" w:sz="0" w:space="0" w:color="auto"/>
            <w:left w:val="none" w:sz="0" w:space="0" w:color="auto"/>
            <w:bottom w:val="none" w:sz="0" w:space="0" w:color="auto"/>
            <w:right w:val="none" w:sz="0" w:space="0" w:color="auto"/>
          </w:divBdr>
          <w:divsChild>
            <w:div w:id="1239170427">
              <w:marLeft w:val="0"/>
              <w:marRight w:val="0"/>
              <w:marTop w:val="0"/>
              <w:marBottom w:val="0"/>
              <w:divBdr>
                <w:top w:val="none" w:sz="0" w:space="0" w:color="auto"/>
                <w:left w:val="none" w:sz="0" w:space="0" w:color="auto"/>
                <w:bottom w:val="none" w:sz="0" w:space="0" w:color="auto"/>
                <w:right w:val="none" w:sz="0" w:space="0" w:color="auto"/>
              </w:divBdr>
            </w:div>
            <w:div w:id="60512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ffice@cmkl.cv.ua" TargetMode="External"/><Relationship Id="rId4" Type="http://schemas.openxmlformats.org/officeDocument/2006/relationships/settings" Target="settings.xml"/><Relationship Id="rId9" Type="http://schemas.openxmlformats.org/officeDocument/2006/relationships/hyperlink" Target="https://cmk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vT2e8uOkWbiyaLIQpzk6aFzA01Q==">AMUW2mXwi6DHjtzWVF9nTAyJZKlyrs42MIAWSlBjeTXnnwROLvfp5XVnpNz+hehngPJWubOJaJugOicvBp6seTCyE4P1isU0aENiug3YWfNJQJPCRti5msg=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D07167-05AF-42E6-A397-0DA706C9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1629</Words>
  <Characters>9289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2025-12-08T14:04:00Z</dcterms:created>
  <dcterms:modified xsi:type="dcterms:W3CDTF">2025-12-08T14:04:00Z</dcterms:modified>
</cp:coreProperties>
</file>